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4320"/>
        <w:gridCol w:w="5670"/>
      </w:tblGrid>
      <w:tr w:rsidR="00085460" w:rsidRPr="00584901" w:rsidTr="008A3ED7">
        <w:trPr>
          <w:trHeight w:val="288"/>
        </w:trPr>
        <w:tc>
          <w:tcPr>
            <w:tcW w:w="1350" w:type="dxa"/>
            <w:vMerge w:val="restart"/>
            <w:tcBorders>
              <w:top w:val="double" w:sz="4" w:space="0" w:color="auto"/>
              <w:left w:val="single" w:sz="4" w:space="0" w:color="auto"/>
              <w:right w:val="single" w:sz="4" w:space="0" w:color="auto"/>
            </w:tcBorders>
            <w:shd w:val="clear" w:color="auto" w:fill="auto"/>
            <w:vAlign w:val="center"/>
          </w:tcPr>
          <w:p w:rsidR="00085460" w:rsidRDefault="00085460" w:rsidP="008F4181">
            <w:pPr>
              <w:spacing w:line="360" w:lineRule="auto"/>
              <w:ind w:right="158"/>
              <w:jc w:val="center"/>
              <w:rPr>
                <w:rFonts w:cs="Arial"/>
                <w:b/>
                <w:sz w:val="18"/>
                <w:szCs w:val="16"/>
              </w:rPr>
            </w:pPr>
            <w:r>
              <w:rPr>
                <w:noProof/>
                <w:sz w:val="18"/>
                <w:lang w:val="en-US"/>
              </w:rPr>
              <w:drawing>
                <wp:inline distT="0" distB="0" distL="0" distR="0" wp14:anchorId="605CE71A" wp14:editId="671AB8F8">
                  <wp:extent cx="607001" cy="607001"/>
                  <wp:effectExtent l="19050" t="0" r="259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3364" cy="613364"/>
                          </a:xfrm>
                          <a:prstGeom prst="rect">
                            <a:avLst/>
                          </a:prstGeom>
                          <a:noFill/>
                          <a:ln w="9525">
                            <a:noFill/>
                            <a:miter lim="800000"/>
                            <a:headEnd/>
                            <a:tailEnd/>
                          </a:ln>
                        </pic:spPr>
                      </pic:pic>
                    </a:graphicData>
                  </a:graphic>
                </wp:inline>
              </w:drawing>
            </w:r>
          </w:p>
        </w:tc>
        <w:tc>
          <w:tcPr>
            <w:tcW w:w="4320" w:type="dxa"/>
            <w:vMerge w:val="restart"/>
            <w:tcBorders>
              <w:top w:val="double" w:sz="4" w:space="0" w:color="auto"/>
              <w:left w:val="single" w:sz="4" w:space="0" w:color="auto"/>
              <w:right w:val="single" w:sz="4" w:space="0" w:color="auto"/>
            </w:tcBorders>
            <w:shd w:val="clear" w:color="auto" w:fill="auto"/>
            <w:vAlign w:val="center"/>
          </w:tcPr>
          <w:p w:rsidR="00085460" w:rsidRPr="00F54CFC" w:rsidRDefault="00085460" w:rsidP="00955E9B">
            <w:pPr>
              <w:rPr>
                <w:rFonts w:cs="Arial"/>
                <w:sz w:val="17"/>
                <w:szCs w:val="17"/>
              </w:rPr>
            </w:pPr>
            <w:r>
              <w:rPr>
                <w:sz w:val="17"/>
              </w:rPr>
              <w:t xml:space="preserve">DEPARTAMENTO DE SERVICIOS SOCIALES </w:t>
            </w:r>
            <w:r w:rsidR="00CA71F2">
              <w:rPr>
                <w:sz w:val="17"/>
              </w:rPr>
              <w:br/>
            </w:r>
            <w:r>
              <w:rPr>
                <w:sz w:val="17"/>
              </w:rPr>
              <w:t>DE MISURI</w:t>
            </w:r>
          </w:p>
          <w:p w:rsidR="00085460" w:rsidRPr="00F54CFC" w:rsidRDefault="00085460" w:rsidP="00955E9B">
            <w:pPr>
              <w:rPr>
                <w:rFonts w:cs="Arial"/>
                <w:sz w:val="17"/>
                <w:szCs w:val="17"/>
              </w:rPr>
            </w:pPr>
            <w:r>
              <w:rPr>
                <w:sz w:val="17"/>
              </w:rPr>
              <w:t>DIVISIÓN INFANTIL</w:t>
            </w:r>
          </w:p>
          <w:p w:rsidR="00085460" w:rsidRDefault="00085460" w:rsidP="00955E9B">
            <w:pPr>
              <w:ind w:right="158"/>
              <w:rPr>
                <w:rFonts w:cs="Arial"/>
                <w:b/>
                <w:sz w:val="18"/>
                <w:szCs w:val="16"/>
              </w:rPr>
            </w:pPr>
            <w:r>
              <w:rPr>
                <w:b/>
                <w:sz w:val="18"/>
              </w:rPr>
              <w:t>PLAN DE INTERVENCIÓN DE SEGURIDAD INMEDIATA</w:t>
            </w: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D54FA3">
            <w:pPr>
              <w:ind w:right="158"/>
              <w:rPr>
                <w:rFonts w:cs="Arial"/>
                <w:b/>
                <w:sz w:val="18"/>
                <w:szCs w:val="16"/>
              </w:rPr>
            </w:pPr>
            <w:r>
              <w:rPr>
                <w:b/>
                <w:sz w:val="18"/>
              </w:rPr>
              <w:t xml:space="preserve">Nombre del caso: </w:t>
            </w:r>
            <w:r>
              <w:rPr>
                <w:rFonts w:cs="Arial"/>
                <w:sz w:val="18"/>
              </w:rPr>
              <w:fldChar w:fldCharType="begin" w:fldLock="1">
                <w:ffData>
                  <w:name w:val="Text35"/>
                  <w:enabled/>
                  <w:calcOnExit w:val="0"/>
                  <w:textInput/>
                </w:ffData>
              </w:fldChar>
            </w:r>
            <w:r>
              <w:rPr>
                <w:rFonts w:cs="Arial"/>
                <w:sz w:val="18"/>
              </w:rPr>
              <w:instrText xml:space="preserve"> FORMTEXT </w:instrText>
            </w:r>
            <w:r>
              <w:rPr>
                <w:rFonts w:cs="Arial"/>
                <w:sz w:val="18"/>
              </w:rPr>
            </w:r>
            <w:r>
              <w:rPr>
                <w:rFonts w:cs="Arial"/>
                <w:sz w:val="18"/>
              </w:rPr>
              <w:fldChar w:fldCharType="separate"/>
            </w:r>
            <w:bookmarkStart w:id="0" w:name="_GoBack"/>
            <w:r>
              <w:rPr>
                <w:sz w:val="18"/>
              </w:rPr>
              <w:t>     </w:t>
            </w:r>
            <w:bookmarkEnd w:id="0"/>
            <w:r>
              <w:rPr>
                <w:rFonts w:cs="Arial"/>
                <w:sz w:val="18"/>
              </w:rPr>
              <w:fldChar w:fldCharType="end"/>
            </w:r>
          </w:p>
        </w:tc>
      </w:tr>
      <w:tr w:rsidR="00085460" w:rsidRPr="00584901" w:rsidTr="00D54FA3">
        <w:trPr>
          <w:trHeight w:val="288"/>
        </w:trPr>
        <w:tc>
          <w:tcPr>
            <w:tcW w:w="1350" w:type="dxa"/>
            <w:vMerge/>
            <w:tcBorders>
              <w:left w:val="single" w:sz="4" w:space="0" w:color="auto"/>
              <w:right w:val="single" w:sz="4" w:space="0" w:color="auto"/>
            </w:tcBorders>
            <w:shd w:val="clear" w:color="auto" w:fill="auto"/>
          </w:tcPr>
          <w:p w:rsidR="00085460" w:rsidRDefault="00085460" w:rsidP="00BA6576">
            <w:pPr>
              <w:spacing w:line="360" w:lineRule="auto"/>
              <w:ind w:right="158"/>
              <w:rPr>
                <w:rFonts w:cs="Arial"/>
                <w:noProof/>
                <w:sz w:val="18"/>
                <w:szCs w:val="18"/>
              </w:rPr>
            </w:pPr>
          </w:p>
        </w:tc>
        <w:tc>
          <w:tcPr>
            <w:tcW w:w="4320" w:type="dxa"/>
            <w:vMerge/>
            <w:tcBorders>
              <w:left w:val="single" w:sz="4" w:space="0" w:color="auto"/>
              <w:right w:val="single" w:sz="4" w:space="0" w:color="auto"/>
            </w:tcBorders>
            <w:shd w:val="clear" w:color="auto" w:fill="auto"/>
          </w:tcPr>
          <w:p w:rsidR="00085460" w:rsidRPr="00F54CFC" w:rsidRDefault="00085460" w:rsidP="001738EA">
            <w:pPr>
              <w:rPr>
                <w:rFonts w:cs="Arial"/>
                <w:sz w:val="17"/>
                <w:szCs w:val="17"/>
              </w:rPr>
            </w:pP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D54FA3">
            <w:pPr>
              <w:ind w:right="158"/>
              <w:rPr>
                <w:rFonts w:cs="Arial"/>
                <w:b/>
                <w:sz w:val="18"/>
                <w:szCs w:val="16"/>
              </w:rPr>
            </w:pPr>
            <w:r>
              <w:rPr>
                <w:b/>
                <w:sz w:val="18"/>
              </w:rPr>
              <w:t>Número de caso/incidente:</w:t>
            </w:r>
            <w:r>
              <w:rPr>
                <w:sz w:val="18"/>
              </w:rPr>
              <w:t xml:space="preserve"> </w:t>
            </w:r>
            <w:r w:rsidR="00D54FA3">
              <w:rPr>
                <w:rFonts w:cs="Arial"/>
                <w:sz w:val="18"/>
              </w:rPr>
              <w:fldChar w:fldCharType="begin" w:fldLock="1">
                <w:ffData>
                  <w:name w:val="Text35"/>
                  <w:enabled/>
                  <w:calcOnExit w:val="0"/>
                  <w:textInput/>
                </w:ffData>
              </w:fldChar>
            </w:r>
            <w:r w:rsidR="00D54FA3">
              <w:rPr>
                <w:rFonts w:cs="Arial"/>
                <w:sz w:val="18"/>
              </w:rPr>
              <w:instrText xml:space="preserve"> FORMTEXT </w:instrText>
            </w:r>
            <w:r w:rsidR="00D54FA3">
              <w:rPr>
                <w:rFonts w:cs="Arial"/>
                <w:sz w:val="18"/>
              </w:rPr>
            </w:r>
            <w:r w:rsidR="00D54FA3">
              <w:rPr>
                <w:rFonts w:cs="Arial"/>
                <w:sz w:val="18"/>
              </w:rPr>
              <w:fldChar w:fldCharType="separate"/>
            </w:r>
            <w:r>
              <w:rPr>
                <w:sz w:val="18"/>
              </w:rPr>
              <w:t>     </w:t>
            </w:r>
            <w:r w:rsidR="00D54FA3">
              <w:rPr>
                <w:rFonts w:cs="Arial"/>
                <w:sz w:val="18"/>
              </w:rPr>
              <w:fldChar w:fldCharType="end"/>
            </w:r>
          </w:p>
        </w:tc>
      </w:tr>
      <w:tr w:rsidR="00085460" w:rsidRPr="00584901" w:rsidTr="00D54FA3">
        <w:trPr>
          <w:trHeight w:val="288"/>
        </w:trPr>
        <w:tc>
          <w:tcPr>
            <w:tcW w:w="1350" w:type="dxa"/>
            <w:vMerge/>
            <w:tcBorders>
              <w:left w:val="single" w:sz="4" w:space="0" w:color="auto"/>
              <w:right w:val="single" w:sz="4" w:space="0" w:color="auto"/>
            </w:tcBorders>
            <w:shd w:val="clear" w:color="auto" w:fill="auto"/>
          </w:tcPr>
          <w:p w:rsidR="00085460" w:rsidRDefault="00085460" w:rsidP="00BA6576">
            <w:pPr>
              <w:spacing w:line="360" w:lineRule="auto"/>
              <w:ind w:right="158"/>
              <w:rPr>
                <w:rFonts w:cs="Arial"/>
                <w:noProof/>
                <w:sz w:val="18"/>
                <w:szCs w:val="18"/>
              </w:rPr>
            </w:pPr>
          </w:p>
        </w:tc>
        <w:tc>
          <w:tcPr>
            <w:tcW w:w="4320" w:type="dxa"/>
            <w:vMerge/>
            <w:tcBorders>
              <w:left w:val="single" w:sz="4" w:space="0" w:color="auto"/>
              <w:right w:val="single" w:sz="4" w:space="0" w:color="auto"/>
            </w:tcBorders>
            <w:shd w:val="clear" w:color="auto" w:fill="auto"/>
          </w:tcPr>
          <w:p w:rsidR="00085460" w:rsidRPr="00F54CFC" w:rsidRDefault="00085460" w:rsidP="001738EA">
            <w:pPr>
              <w:rPr>
                <w:rFonts w:cs="Arial"/>
                <w:sz w:val="17"/>
                <w:szCs w:val="17"/>
              </w:rPr>
            </w:pP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D54FA3">
            <w:pPr>
              <w:ind w:right="158"/>
              <w:rPr>
                <w:rFonts w:cs="Arial"/>
                <w:b/>
                <w:sz w:val="18"/>
                <w:szCs w:val="16"/>
              </w:rPr>
            </w:pPr>
            <w:r>
              <w:rPr>
                <w:b/>
                <w:sz w:val="18"/>
              </w:rPr>
              <w:t xml:space="preserve">Fecha de inicio del Plan de Intervención de Seguridad Inmediata: </w:t>
            </w:r>
            <w:r>
              <w:rPr>
                <w:rFonts w:cs="Arial"/>
                <w:sz w:val="18"/>
              </w:rPr>
              <w:fldChar w:fldCharType="begin" w:fldLock="1">
                <w:ffData>
                  <w:name w:val="Text35"/>
                  <w:enabled/>
                  <w:calcOnExit w:val="0"/>
                  <w:textInput/>
                </w:ffData>
              </w:fldChar>
            </w:r>
            <w:r>
              <w:rPr>
                <w:rFonts w:cs="Arial"/>
                <w:sz w:val="18"/>
              </w:rPr>
              <w:instrText xml:space="preserve"> FORMTEXT </w:instrText>
            </w:r>
            <w:r>
              <w:rPr>
                <w:rFonts w:cs="Arial"/>
                <w:sz w:val="18"/>
              </w:rPr>
            </w:r>
            <w:r>
              <w:rPr>
                <w:rFonts w:cs="Arial"/>
                <w:sz w:val="18"/>
              </w:rPr>
              <w:fldChar w:fldCharType="separate"/>
            </w:r>
            <w:r>
              <w:rPr>
                <w:sz w:val="18"/>
              </w:rPr>
              <w:t>     </w:t>
            </w:r>
            <w:r>
              <w:rPr>
                <w:rFonts w:cs="Arial"/>
                <w:sz w:val="18"/>
              </w:rPr>
              <w:fldChar w:fldCharType="end"/>
            </w:r>
          </w:p>
        </w:tc>
      </w:tr>
      <w:tr w:rsidR="00085460" w:rsidRPr="00584901" w:rsidTr="00D54FA3">
        <w:trPr>
          <w:trHeight w:val="288"/>
        </w:trPr>
        <w:tc>
          <w:tcPr>
            <w:tcW w:w="1350" w:type="dxa"/>
            <w:vMerge/>
            <w:tcBorders>
              <w:left w:val="single" w:sz="4" w:space="0" w:color="auto"/>
              <w:bottom w:val="single" w:sz="4" w:space="0" w:color="auto"/>
              <w:right w:val="single" w:sz="4" w:space="0" w:color="auto"/>
            </w:tcBorders>
            <w:shd w:val="clear" w:color="auto" w:fill="auto"/>
          </w:tcPr>
          <w:p w:rsidR="00085460" w:rsidRDefault="00085460" w:rsidP="00085460">
            <w:pPr>
              <w:spacing w:line="360" w:lineRule="auto"/>
              <w:ind w:right="158"/>
              <w:rPr>
                <w:rFonts w:cs="Arial"/>
                <w:noProof/>
                <w:sz w:val="18"/>
                <w:szCs w:val="18"/>
              </w:rPr>
            </w:pPr>
          </w:p>
        </w:tc>
        <w:tc>
          <w:tcPr>
            <w:tcW w:w="4320" w:type="dxa"/>
            <w:vMerge/>
            <w:tcBorders>
              <w:left w:val="single" w:sz="4" w:space="0" w:color="auto"/>
              <w:bottom w:val="single" w:sz="4" w:space="0" w:color="auto"/>
              <w:right w:val="single" w:sz="4" w:space="0" w:color="auto"/>
            </w:tcBorders>
            <w:shd w:val="clear" w:color="auto" w:fill="auto"/>
          </w:tcPr>
          <w:p w:rsidR="00085460" w:rsidRPr="00F54CFC" w:rsidRDefault="00085460" w:rsidP="00085460">
            <w:pPr>
              <w:rPr>
                <w:rFonts w:cs="Arial"/>
                <w:sz w:val="17"/>
                <w:szCs w:val="17"/>
              </w:rPr>
            </w:pPr>
          </w:p>
        </w:tc>
        <w:tc>
          <w:tcPr>
            <w:tcW w:w="5670" w:type="dxa"/>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D54FA3">
            <w:pPr>
              <w:ind w:right="158"/>
              <w:rPr>
                <w:rFonts w:cs="Arial"/>
                <w:b/>
                <w:sz w:val="18"/>
                <w:szCs w:val="16"/>
              </w:rPr>
            </w:pPr>
            <w:r>
              <w:rPr>
                <w:b/>
                <w:sz w:val="18"/>
              </w:rPr>
              <w:t xml:space="preserve">Fecha de finalización del Plan de Intervención de Seguridad Inmediata: </w:t>
            </w:r>
            <w:r>
              <w:rPr>
                <w:rFonts w:cs="Arial"/>
                <w:sz w:val="18"/>
              </w:rPr>
              <w:fldChar w:fldCharType="begin" w:fldLock="1">
                <w:ffData>
                  <w:name w:val="Text35"/>
                  <w:enabled/>
                  <w:calcOnExit w:val="0"/>
                  <w:textInput/>
                </w:ffData>
              </w:fldChar>
            </w:r>
            <w:r>
              <w:rPr>
                <w:rFonts w:cs="Arial"/>
                <w:sz w:val="18"/>
              </w:rPr>
              <w:instrText xml:space="preserve"> FORMTEXT </w:instrText>
            </w:r>
            <w:r>
              <w:rPr>
                <w:rFonts w:cs="Arial"/>
                <w:sz w:val="18"/>
              </w:rPr>
            </w:r>
            <w:r>
              <w:rPr>
                <w:rFonts w:cs="Arial"/>
                <w:sz w:val="18"/>
              </w:rPr>
              <w:fldChar w:fldCharType="separate"/>
            </w:r>
            <w:r>
              <w:rPr>
                <w:sz w:val="18"/>
              </w:rPr>
              <w:t>     </w:t>
            </w:r>
            <w:r>
              <w:rPr>
                <w:rFonts w:cs="Arial"/>
                <w:sz w:val="18"/>
              </w:rPr>
              <w:fldChar w:fldCharType="end"/>
            </w:r>
          </w:p>
        </w:tc>
      </w:tr>
      <w:tr w:rsidR="00085460" w:rsidRPr="00584901" w:rsidTr="008A3ED7">
        <w:trPr>
          <w:trHeight w:val="1296"/>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Pr="00CA52E9" w:rsidRDefault="00085460" w:rsidP="008A3ED7">
            <w:pPr>
              <w:ind w:right="158"/>
              <w:rPr>
                <w:rFonts w:cs="Arial"/>
                <w:b/>
                <w:sz w:val="4"/>
                <w:szCs w:val="16"/>
              </w:rPr>
            </w:pPr>
            <w:r>
              <w:rPr>
                <w:b/>
                <w:sz w:val="18"/>
              </w:rPr>
              <w:t xml:space="preserve">¿Qué amenaza inmediata para la seguridad del niño existe?  </w:t>
            </w:r>
            <w:r>
              <w:rPr>
                <w:sz w:val="18"/>
              </w:rPr>
              <w:t xml:space="preserve">(Sea específico con respecto al niño y al comportamiento) </w:t>
            </w:r>
            <w:r>
              <w:rPr>
                <w:rFonts w:cs="Arial"/>
                <w:sz w:val="18"/>
              </w:rPr>
              <w:fldChar w:fldCharType="begin" w:fldLock="1">
                <w:ffData>
                  <w:name w:val="Text35"/>
                  <w:enabled/>
                  <w:calcOnExit w:val="0"/>
                  <w:textInput/>
                </w:ffData>
              </w:fldChar>
            </w:r>
            <w:r>
              <w:rPr>
                <w:rFonts w:cs="Arial"/>
                <w:sz w:val="18"/>
              </w:rPr>
              <w:instrText xml:space="preserve"> FORMTEXT </w:instrText>
            </w:r>
            <w:r>
              <w:rPr>
                <w:rFonts w:cs="Arial"/>
                <w:sz w:val="18"/>
              </w:rPr>
            </w:r>
            <w:r>
              <w:rPr>
                <w:rFonts w:cs="Arial"/>
                <w:sz w:val="18"/>
              </w:rPr>
              <w:fldChar w:fldCharType="separate"/>
            </w:r>
            <w:r>
              <w:rPr>
                <w:sz w:val="18"/>
              </w:rPr>
              <w:t>     </w:t>
            </w:r>
            <w:r>
              <w:rPr>
                <w:rFonts w:cs="Arial"/>
                <w:sz w:val="18"/>
              </w:rPr>
              <w:fldChar w:fldCharType="end"/>
            </w:r>
          </w:p>
        </w:tc>
      </w:tr>
      <w:tr w:rsidR="00085460" w:rsidRPr="00584901" w:rsidTr="008A3ED7">
        <w:trPr>
          <w:trHeight w:val="1296"/>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8A3ED7">
            <w:pPr>
              <w:ind w:right="158"/>
              <w:rPr>
                <w:rFonts w:cs="Arial"/>
                <w:b/>
                <w:sz w:val="18"/>
                <w:szCs w:val="16"/>
              </w:rPr>
            </w:pPr>
            <w:r>
              <w:rPr>
                <w:b/>
                <w:sz w:val="18"/>
              </w:rPr>
              <w:t xml:space="preserve">¿Cuáles son las vulnerabilidades del niño a las amenazas de seguridad y cuáles son las preocupaciones con respecto a las capacidades de protección del padre/madre/cuidador?  </w:t>
            </w:r>
            <w:r>
              <w:rPr>
                <w:sz w:val="18"/>
              </w:rPr>
              <w:t xml:space="preserve">(Sea específico individualmente) </w:t>
            </w:r>
            <w:r w:rsidRPr="004260B4">
              <w:rPr>
                <w:rFonts w:cs="Arial"/>
                <w:sz w:val="18"/>
              </w:rPr>
              <w:fldChar w:fldCharType="begin" w:fldLock="1">
                <w:ffData>
                  <w:name w:val="Text30"/>
                  <w:enabled/>
                  <w:calcOnExit w:val="0"/>
                  <w:textInput/>
                </w:ffData>
              </w:fldChar>
            </w:r>
            <w:r w:rsidRPr="004260B4">
              <w:rPr>
                <w:rFonts w:cs="Arial"/>
                <w:sz w:val="18"/>
              </w:rPr>
              <w:instrText xml:space="preserve"> FORMTEXT </w:instrText>
            </w:r>
            <w:r w:rsidRPr="004260B4">
              <w:rPr>
                <w:rFonts w:cs="Arial"/>
                <w:sz w:val="18"/>
              </w:rPr>
            </w:r>
            <w:r w:rsidRPr="004260B4">
              <w:rPr>
                <w:rFonts w:cs="Arial"/>
                <w:sz w:val="18"/>
              </w:rPr>
              <w:fldChar w:fldCharType="separate"/>
            </w:r>
            <w:r>
              <w:rPr>
                <w:sz w:val="18"/>
              </w:rPr>
              <w:t>     </w:t>
            </w:r>
            <w:r w:rsidRPr="004260B4">
              <w:rPr>
                <w:rFonts w:cs="Arial"/>
                <w:sz w:val="18"/>
              </w:rPr>
              <w:fldChar w:fldCharType="end"/>
            </w:r>
          </w:p>
        </w:tc>
      </w:tr>
      <w:tr w:rsidR="00085460" w:rsidRPr="00584901" w:rsidTr="008A3ED7">
        <w:trPr>
          <w:trHeight w:val="1296"/>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8A3ED7">
            <w:pPr>
              <w:ind w:right="158"/>
              <w:rPr>
                <w:rFonts w:cs="Arial"/>
                <w:b/>
                <w:sz w:val="18"/>
                <w:szCs w:val="16"/>
              </w:rPr>
            </w:pPr>
            <w:r>
              <w:rPr>
                <w:b/>
                <w:sz w:val="18"/>
              </w:rPr>
              <w:t xml:space="preserve">¿Qué medidas han tomado el padre/madre/tutor legal en el pasado para mantener al niño seguro cuando se ha producido la amenaza de seguridad? </w:t>
            </w:r>
            <w:r w:rsidRPr="004260B4">
              <w:rPr>
                <w:rFonts w:cs="Arial"/>
                <w:sz w:val="18"/>
              </w:rPr>
              <w:fldChar w:fldCharType="begin" w:fldLock="1">
                <w:ffData>
                  <w:name w:val="Text30"/>
                  <w:enabled/>
                  <w:calcOnExit w:val="0"/>
                  <w:textInput/>
                </w:ffData>
              </w:fldChar>
            </w:r>
            <w:r w:rsidRPr="004260B4">
              <w:rPr>
                <w:rFonts w:cs="Arial"/>
                <w:sz w:val="18"/>
              </w:rPr>
              <w:instrText xml:space="preserve"> FORMTEXT </w:instrText>
            </w:r>
            <w:r w:rsidRPr="004260B4">
              <w:rPr>
                <w:rFonts w:cs="Arial"/>
                <w:sz w:val="18"/>
              </w:rPr>
            </w:r>
            <w:r w:rsidRPr="004260B4">
              <w:rPr>
                <w:rFonts w:cs="Arial"/>
                <w:sz w:val="18"/>
              </w:rPr>
              <w:fldChar w:fldCharType="separate"/>
            </w:r>
            <w:r>
              <w:rPr>
                <w:sz w:val="18"/>
              </w:rPr>
              <w:t>     </w:t>
            </w:r>
            <w:r w:rsidRPr="004260B4">
              <w:rPr>
                <w:rFonts w:cs="Arial"/>
                <w:sz w:val="18"/>
              </w:rPr>
              <w:fldChar w:fldCharType="end"/>
            </w:r>
          </w:p>
        </w:tc>
      </w:tr>
      <w:tr w:rsidR="00085460" w:rsidRPr="00584901" w:rsidTr="00955E9B">
        <w:trPr>
          <w:trHeight w:val="1221"/>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8A3ED7">
            <w:pPr>
              <w:ind w:right="158"/>
              <w:rPr>
                <w:rFonts w:cs="Arial"/>
                <w:b/>
                <w:sz w:val="18"/>
                <w:szCs w:val="16"/>
              </w:rPr>
            </w:pPr>
            <w:r>
              <w:rPr>
                <w:b/>
                <w:sz w:val="18"/>
              </w:rPr>
              <w:t xml:space="preserve">¿Qué apoyos se han utilizado en el pasado (o en la actualidad) para mantener al niño seguro? </w:t>
            </w:r>
            <w:r w:rsidRPr="004260B4">
              <w:rPr>
                <w:rFonts w:cs="Arial"/>
                <w:sz w:val="18"/>
              </w:rPr>
              <w:fldChar w:fldCharType="begin" w:fldLock="1">
                <w:ffData>
                  <w:name w:val="Text30"/>
                  <w:enabled/>
                  <w:calcOnExit w:val="0"/>
                  <w:textInput/>
                </w:ffData>
              </w:fldChar>
            </w:r>
            <w:r w:rsidRPr="004260B4">
              <w:rPr>
                <w:rFonts w:cs="Arial"/>
                <w:sz w:val="18"/>
              </w:rPr>
              <w:instrText xml:space="preserve"> FORMTEXT </w:instrText>
            </w:r>
            <w:r w:rsidRPr="004260B4">
              <w:rPr>
                <w:rFonts w:cs="Arial"/>
                <w:sz w:val="18"/>
              </w:rPr>
            </w:r>
            <w:r w:rsidRPr="004260B4">
              <w:rPr>
                <w:rFonts w:cs="Arial"/>
                <w:sz w:val="18"/>
              </w:rPr>
              <w:fldChar w:fldCharType="separate"/>
            </w:r>
            <w:r>
              <w:rPr>
                <w:sz w:val="18"/>
              </w:rPr>
              <w:t>     </w:t>
            </w:r>
            <w:r w:rsidRPr="004260B4">
              <w:rPr>
                <w:rFonts w:cs="Arial"/>
                <w:sz w:val="18"/>
              </w:rPr>
              <w:fldChar w:fldCharType="end"/>
            </w:r>
          </w:p>
        </w:tc>
      </w:tr>
      <w:tr w:rsidR="00085460" w:rsidRPr="00584901" w:rsidTr="008A3ED7">
        <w:trPr>
          <w:trHeight w:val="1584"/>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8A3ED7">
            <w:pPr>
              <w:ind w:right="158"/>
              <w:rPr>
                <w:rFonts w:cs="Arial"/>
                <w:b/>
                <w:sz w:val="18"/>
                <w:szCs w:val="16"/>
              </w:rPr>
            </w:pPr>
            <w:r>
              <w:rPr>
                <w:b/>
                <w:sz w:val="18"/>
              </w:rPr>
              <w:t xml:space="preserve">Para hacer frente a la amenazas continua de seguridad, implementaremos el siguiente plan </w:t>
            </w:r>
            <w:r>
              <w:rPr>
                <w:sz w:val="18"/>
              </w:rPr>
              <w:t xml:space="preserve">(Sea específico individualmente y con respecto al comportamiento.  Si incluye los servicios que se prestarán, explique cómo se pretende mantener directamente al niño seguro.  Especifique las fecha/horas en las que se completará cada elemento del plan y quién es responsable de completar cada elemento): </w:t>
            </w:r>
            <w:r w:rsidRPr="004260B4">
              <w:rPr>
                <w:rFonts w:cs="Arial"/>
                <w:sz w:val="18"/>
              </w:rPr>
              <w:fldChar w:fldCharType="begin" w:fldLock="1">
                <w:ffData>
                  <w:name w:val="Text30"/>
                  <w:enabled/>
                  <w:calcOnExit w:val="0"/>
                  <w:textInput/>
                </w:ffData>
              </w:fldChar>
            </w:r>
            <w:r w:rsidRPr="004260B4">
              <w:rPr>
                <w:rFonts w:cs="Arial"/>
                <w:sz w:val="18"/>
              </w:rPr>
              <w:instrText xml:space="preserve"> FORMTEXT </w:instrText>
            </w:r>
            <w:r w:rsidRPr="004260B4">
              <w:rPr>
                <w:rFonts w:cs="Arial"/>
                <w:sz w:val="18"/>
              </w:rPr>
            </w:r>
            <w:r w:rsidRPr="004260B4">
              <w:rPr>
                <w:rFonts w:cs="Arial"/>
                <w:sz w:val="18"/>
              </w:rPr>
              <w:fldChar w:fldCharType="separate"/>
            </w:r>
            <w:r>
              <w:rPr>
                <w:sz w:val="18"/>
              </w:rPr>
              <w:t>     </w:t>
            </w:r>
            <w:r w:rsidRPr="004260B4">
              <w:rPr>
                <w:rFonts w:cs="Arial"/>
                <w:sz w:val="18"/>
              </w:rPr>
              <w:fldChar w:fldCharType="end"/>
            </w:r>
          </w:p>
        </w:tc>
      </w:tr>
      <w:tr w:rsidR="00085460" w:rsidRPr="00584901" w:rsidTr="00955E9B">
        <w:trPr>
          <w:trHeight w:val="1068"/>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Pr="00C13FC5" w:rsidRDefault="00085460" w:rsidP="008A3ED7">
            <w:pPr>
              <w:ind w:right="158"/>
              <w:rPr>
                <w:rFonts w:cs="Arial"/>
                <w:sz w:val="18"/>
                <w:szCs w:val="16"/>
              </w:rPr>
            </w:pPr>
            <w:r>
              <w:rPr>
                <w:b/>
                <w:sz w:val="18"/>
              </w:rPr>
              <w:t xml:space="preserve">¿Cómo se supervisará este Plan de Intervención de Seguridad Inmediata? </w:t>
            </w:r>
            <w:r>
              <w:rPr>
                <w:sz w:val="18"/>
              </w:rPr>
              <w:t xml:space="preserve">(Sea específico) </w:t>
            </w:r>
            <w:r w:rsidRPr="004260B4">
              <w:rPr>
                <w:rFonts w:cs="Arial"/>
                <w:sz w:val="18"/>
              </w:rPr>
              <w:fldChar w:fldCharType="begin" w:fldLock="1">
                <w:ffData>
                  <w:name w:val="Text30"/>
                  <w:enabled/>
                  <w:calcOnExit w:val="0"/>
                  <w:textInput/>
                </w:ffData>
              </w:fldChar>
            </w:r>
            <w:r w:rsidRPr="004260B4">
              <w:rPr>
                <w:rFonts w:cs="Arial"/>
                <w:sz w:val="18"/>
              </w:rPr>
              <w:instrText xml:space="preserve"> FORMTEXT </w:instrText>
            </w:r>
            <w:r w:rsidRPr="004260B4">
              <w:rPr>
                <w:rFonts w:cs="Arial"/>
                <w:sz w:val="18"/>
              </w:rPr>
            </w:r>
            <w:r w:rsidRPr="004260B4">
              <w:rPr>
                <w:rFonts w:cs="Arial"/>
                <w:sz w:val="18"/>
              </w:rPr>
              <w:fldChar w:fldCharType="separate"/>
            </w:r>
            <w:r>
              <w:rPr>
                <w:sz w:val="18"/>
              </w:rPr>
              <w:t>     </w:t>
            </w:r>
            <w:r w:rsidRPr="004260B4">
              <w:rPr>
                <w:rFonts w:cs="Arial"/>
                <w:sz w:val="18"/>
              </w:rPr>
              <w:fldChar w:fldCharType="end"/>
            </w:r>
          </w:p>
        </w:tc>
      </w:tr>
      <w:tr w:rsidR="00085460" w:rsidRPr="00584901" w:rsidTr="008A3ED7">
        <w:trPr>
          <w:trHeight w:val="288"/>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8A3ED7">
            <w:pPr>
              <w:ind w:right="158"/>
              <w:rPr>
                <w:rFonts w:cs="Arial"/>
                <w:b/>
                <w:sz w:val="18"/>
                <w:szCs w:val="16"/>
              </w:rPr>
            </w:pPr>
            <w:r>
              <w:rPr>
                <w:b/>
                <w:sz w:val="18"/>
              </w:rPr>
              <w:t xml:space="preserve">Fecha de reevaluación de seguridad: </w:t>
            </w:r>
            <w:r w:rsidRPr="004260B4">
              <w:rPr>
                <w:rFonts w:cs="Arial"/>
                <w:sz w:val="18"/>
              </w:rPr>
              <w:fldChar w:fldCharType="begin" w:fldLock="1">
                <w:ffData>
                  <w:name w:val="Text30"/>
                  <w:enabled/>
                  <w:calcOnExit w:val="0"/>
                  <w:textInput/>
                </w:ffData>
              </w:fldChar>
            </w:r>
            <w:r w:rsidRPr="004260B4">
              <w:rPr>
                <w:rFonts w:cs="Arial"/>
                <w:sz w:val="18"/>
              </w:rPr>
              <w:instrText xml:space="preserve"> FORMTEXT </w:instrText>
            </w:r>
            <w:r w:rsidRPr="004260B4">
              <w:rPr>
                <w:rFonts w:cs="Arial"/>
                <w:sz w:val="18"/>
              </w:rPr>
            </w:r>
            <w:r w:rsidRPr="004260B4">
              <w:rPr>
                <w:rFonts w:cs="Arial"/>
                <w:sz w:val="18"/>
              </w:rPr>
              <w:fldChar w:fldCharType="separate"/>
            </w:r>
            <w:r>
              <w:rPr>
                <w:sz w:val="18"/>
              </w:rPr>
              <w:t>     </w:t>
            </w:r>
            <w:r w:rsidRPr="004260B4">
              <w:rPr>
                <w:rFonts w:cs="Arial"/>
                <w:sz w:val="18"/>
              </w:rPr>
              <w:fldChar w:fldCharType="end"/>
            </w:r>
          </w:p>
        </w:tc>
      </w:tr>
      <w:tr w:rsidR="00085460" w:rsidRPr="00584901" w:rsidTr="008A3ED7">
        <w:trPr>
          <w:trHeight w:val="2160"/>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7D2769" w:rsidP="008A3ED7">
            <w:pPr>
              <w:contextualSpacing/>
              <w:rPr>
                <w:rFonts w:cs="Arial"/>
                <w:b/>
                <w:sz w:val="18"/>
                <w:szCs w:val="16"/>
              </w:rPr>
            </w:pPr>
            <w:r>
              <w:rPr>
                <w:b/>
                <w:sz w:val="18"/>
              </w:rPr>
              <w:t xml:space="preserve">¿Qué recursos/servicios de apoyo relacionados con la seguridad existen actualmente o aún deben remitirse para ayudar con los cambios de comportamiento necesarios para resolver las amenazas de seguridad para el niño?  ¿Qué servicios ofrecerá la División Infantil a la familia?  ¿Qué soportes se han utilizado en el pasado que pueden utilizarse durante el Plan de Intervención de Seguridad Inmediata para eliminar la amenaza de seguridad? </w:t>
            </w:r>
            <w:r>
              <w:rPr>
                <w:sz w:val="18"/>
              </w:rPr>
              <w:t>Identifique a los proveedores de servicios actuales o los servicios específicos con los que la familia aún necesita estar conectada, así como la forma en que estos servicios/recursos ayudarán a resolver la amenaza de seguridad:</w:t>
            </w:r>
            <w:r>
              <w:rPr>
                <w:b/>
              </w:rPr>
              <w:t xml:space="preserve">  </w:t>
            </w:r>
            <w:r w:rsidRPr="00D54FA3">
              <w:rPr>
                <w:rFonts w:eastAsia="Calibri" w:cs="Arial"/>
                <w:sz w:val="18"/>
              </w:rPr>
              <w:fldChar w:fldCharType="begin" w:fldLock="1">
                <w:ffData>
                  <w:name w:val="Text1"/>
                  <w:enabled/>
                  <w:calcOnExit w:val="0"/>
                  <w:textInput/>
                </w:ffData>
              </w:fldChar>
            </w:r>
            <w:r w:rsidRPr="00D54FA3">
              <w:rPr>
                <w:rFonts w:eastAsia="Calibri" w:cs="Arial"/>
                <w:sz w:val="18"/>
              </w:rPr>
              <w:instrText xml:space="preserve"> FORMTEXT </w:instrText>
            </w:r>
            <w:r w:rsidRPr="00D54FA3">
              <w:rPr>
                <w:rFonts w:eastAsia="Calibri" w:cs="Arial"/>
                <w:sz w:val="18"/>
              </w:rPr>
            </w:r>
            <w:r w:rsidRPr="00D54FA3">
              <w:rPr>
                <w:rFonts w:eastAsia="Calibri" w:cs="Arial"/>
                <w:sz w:val="18"/>
              </w:rPr>
              <w:fldChar w:fldCharType="separate"/>
            </w:r>
            <w:r>
              <w:rPr>
                <w:sz w:val="18"/>
              </w:rPr>
              <w:t>     </w:t>
            </w:r>
            <w:r w:rsidRPr="00D54FA3">
              <w:rPr>
                <w:rFonts w:eastAsia="Calibri" w:cs="Arial"/>
                <w:sz w:val="18"/>
              </w:rPr>
              <w:fldChar w:fldCharType="end"/>
            </w:r>
          </w:p>
        </w:tc>
      </w:tr>
      <w:tr w:rsidR="00085460" w:rsidRPr="00584901" w:rsidTr="008A3ED7">
        <w:trPr>
          <w:trHeight w:val="1728"/>
        </w:trPr>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Pr="004F7025" w:rsidRDefault="00AA3269" w:rsidP="00085460">
            <w:pPr>
              <w:rPr>
                <w:rFonts w:cs="Arial"/>
                <w:b/>
                <w:noProof/>
                <w:sz w:val="18"/>
                <w:szCs w:val="18"/>
              </w:rPr>
            </w:pPr>
            <w:r>
              <w:rPr>
                <w:b/>
                <w:sz w:val="18"/>
              </w:rPr>
              <w:t>¿Qué medidas deben tomar los miembros de la familia o de la red de seguridad en caso de que se infrinja este Plan de Intervención de Seguridad Inmediata?  Proporcione el nombre y la información de contacto de todas las personas a las que se debe notificar de inmediato si se infringe este Plan de Intervención de Seguridad Inmediata o si hay inquietudes por la seguridad del niño involucrado en este plan:</w:t>
            </w:r>
          </w:p>
          <w:p w:rsidR="007D2769" w:rsidRPr="004F7025" w:rsidRDefault="00085460" w:rsidP="008A3ED7">
            <w:pPr>
              <w:rPr>
                <w:rFonts w:cs="Arial"/>
                <w:b/>
                <w:noProof/>
                <w:sz w:val="18"/>
                <w:szCs w:val="18"/>
              </w:rPr>
            </w:pPr>
            <w:r w:rsidRPr="0021117F">
              <w:rPr>
                <w:rFonts w:cs="Arial"/>
                <w:sz w:val="18"/>
              </w:rPr>
              <w:fldChar w:fldCharType="begin" w:fldLock="1">
                <w:ffData>
                  <w:name w:val="Text1"/>
                  <w:enabled/>
                  <w:calcOnExit w:val="0"/>
                  <w:textInput/>
                </w:ffData>
              </w:fldChar>
            </w:r>
            <w:r w:rsidRPr="0021117F">
              <w:rPr>
                <w:rFonts w:cs="Arial"/>
                <w:sz w:val="18"/>
              </w:rPr>
              <w:instrText xml:space="preserve"> FORMTEXT </w:instrText>
            </w:r>
            <w:r w:rsidRPr="0021117F">
              <w:rPr>
                <w:rFonts w:cs="Arial"/>
                <w:sz w:val="18"/>
              </w:rPr>
            </w:r>
            <w:r w:rsidRPr="0021117F">
              <w:rPr>
                <w:rFonts w:cs="Arial"/>
                <w:sz w:val="18"/>
              </w:rPr>
              <w:fldChar w:fldCharType="separate"/>
            </w:r>
            <w:r>
              <w:rPr>
                <w:sz w:val="18"/>
              </w:rPr>
              <w:t>     </w:t>
            </w:r>
            <w:r w:rsidRPr="0021117F">
              <w:rPr>
                <w:rFonts w:cs="Arial"/>
                <w:sz w:val="18"/>
              </w:rPr>
              <w:fldChar w:fldCharType="end"/>
            </w:r>
          </w:p>
        </w:tc>
      </w:tr>
      <w:tr w:rsidR="00085460" w:rsidRPr="00584901" w:rsidTr="00B81354">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Default="00085460" w:rsidP="00085460">
            <w:pPr>
              <w:rPr>
                <w:rFonts w:cs="Arial"/>
                <w:b/>
                <w:noProof/>
                <w:sz w:val="18"/>
                <w:szCs w:val="18"/>
              </w:rPr>
            </w:pPr>
            <w:r>
              <w:rPr>
                <w:b/>
                <w:sz w:val="18"/>
              </w:rPr>
              <w:lastRenderedPageBreak/>
              <w:t>El padre/madre/tutor legal cooperarán de buena fe con la División Infantil para implementar el Plan de Intervención de Seguridad Inmediata.  Esto incluye, entre otros:</w:t>
            </w:r>
          </w:p>
          <w:p w:rsidR="00085460" w:rsidRPr="00A634E6" w:rsidRDefault="00085460" w:rsidP="00085460">
            <w:pPr>
              <w:pStyle w:val="ListParagraph"/>
              <w:numPr>
                <w:ilvl w:val="0"/>
                <w:numId w:val="7"/>
              </w:numPr>
              <w:rPr>
                <w:rFonts w:cs="Arial"/>
                <w:noProof/>
                <w:sz w:val="18"/>
                <w:szCs w:val="18"/>
              </w:rPr>
            </w:pPr>
            <w:r>
              <w:rPr>
                <w:sz w:val="18"/>
              </w:rPr>
              <w:t>Hacer que el niño esté disponible para reunirse con la División Infantil o sus contratistas/representantes en el estado de Misuri en persona, virtualmente o por otros medios de comunicación, previa solicitud, para que la División pueda garantizar que el Plan de Intervención de Seguridad Inmediata se esté aplicando y que el niño esté seguro y bien cuidado durante todo el plan.</w:t>
            </w:r>
          </w:p>
          <w:p w:rsidR="00085460" w:rsidRPr="00A634E6" w:rsidRDefault="00085460" w:rsidP="00085460">
            <w:pPr>
              <w:pStyle w:val="ListParagraph"/>
              <w:numPr>
                <w:ilvl w:val="0"/>
                <w:numId w:val="7"/>
              </w:numPr>
              <w:rPr>
                <w:rFonts w:cs="Arial"/>
                <w:noProof/>
                <w:sz w:val="18"/>
                <w:szCs w:val="18"/>
              </w:rPr>
            </w:pPr>
            <w:r>
              <w:rPr>
                <w:sz w:val="18"/>
              </w:rPr>
              <w:t>Permitir que la División Infantil o sus contratistas/representantes inspeccionen el hogar en momentos razonables (anunciados y sin previo aviso) para garantizar que se esté implementando el Plan de Intervención de Seguridad Inmediata.</w:t>
            </w:r>
          </w:p>
          <w:p w:rsidR="00085460" w:rsidRDefault="004822E7" w:rsidP="00085460">
            <w:pPr>
              <w:pStyle w:val="ListParagraph"/>
              <w:numPr>
                <w:ilvl w:val="0"/>
                <w:numId w:val="7"/>
              </w:numPr>
              <w:rPr>
                <w:rFonts w:cs="Arial"/>
                <w:noProof/>
                <w:sz w:val="18"/>
                <w:szCs w:val="18"/>
              </w:rPr>
            </w:pPr>
            <w:r>
              <w:rPr>
                <w:sz w:val="18"/>
              </w:rPr>
              <w:t>Al ejecutar cualquier consentimiento o autorización para divulgar información a la División Infantil o a terceros, la División Infantil determina que es necesario para obtener información para desarrollar o supervisar la implementación del Plan de Intervención de Seguridad Inmediata.  Esto incluye, entre otros: proveedores de atención médica, escuelas y otros profesionales que prestan servicios al niño u otras partes.</w:t>
            </w:r>
          </w:p>
          <w:p w:rsidR="00D0297A" w:rsidRPr="00A634E6" w:rsidRDefault="00D0297A" w:rsidP="00085460">
            <w:pPr>
              <w:pStyle w:val="ListParagraph"/>
              <w:numPr>
                <w:ilvl w:val="0"/>
                <w:numId w:val="7"/>
              </w:numPr>
              <w:rPr>
                <w:rFonts w:cs="Arial"/>
                <w:noProof/>
                <w:sz w:val="18"/>
                <w:szCs w:val="18"/>
              </w:rPr>
            </w:pPr>
            <w:r>
              <w:rPr>
                <w:sz w:val="18"/>
              </w:rPr>
              <w:t>Participar en las reuniones de toma de decisiones en equipo (Team Decision Making, TDM) que la División Infantil puede convocar.</w:t>
            </w:r>
          </w:p>
          <w:p w:rsidR="00085460" w:rsidRDefault="00085460" w:rsidP="00085460">
            <w:pPr>
              <w:pStyle w:val="ListParagraph"/>
              <w:numPr>
                <w:ilvl w:val="0"/>
                <w:numId w:val="7"/>
              </w:numPr>
              <w:rPr>
                <w:rFonts w:cs="Arial"/>
                <w:noProof/>
                <w:sz w:val="18"/>
                <w:szCs w:val="18"/>
              </w:rPr>
            </w:pPr>
            <w:r>
              <w:rPr>
                <w:sz w:val="18"/>
              </w:rPr>
              <w:t>Mantener informada a la División Infantil acerca de la dirección de residencia, la dirección postal, el número de teléfono, la dirección de correo electrónico y cualquier otra información de contacto actuales del padre/madre/tutor legal, así como los cambios en la residencia y la información de contacto del niño.</w:t>
            </w:r>
          </w:p>
          <w:p w:rsidR="00085460" w:rsidRPr="003F0AF3" w:rsidRDefault="00085460" w:rsidP="00085460">
            <w:pPr>
              <w:pStyle w:val="ListParagraph"/>
              <w:numPr>
                <w:ilvl w:val="0"/>
                <w:numId w:val="7"/>
              </w:numPr>
              <w:rPr>
                <w:rFonts w:cs="Arial"/>
                <w:noProof/>
                <w:sz w:val="18"/>
                <w:szCs w:val="18"/>
              </w:rPr>
            </w:pPr>
            <w:r>
              <w:rPr>
                <w:sz w:val="18"/>
              </w:rPr>
              <w:t>Será deber del padre/madre/tutor legal y pariente notificar con prontitud a la División Infantil cualquier cambio en las circunstancias que pueda afectar el cuidado del niño o la implementación del Plan de Intervención de Seguridad Inmediata.</w:t>
            </w:r>
            <w:r>
              <w:rPr>
                <w:b/>
                <w:sz w:val="18"/>
              </w:rPr>
              <w:t xml:space="preserve">  </w:t>
            </w:r>
          </w:p>
          <w:p w:rsidR="003F0AF3" w:rsidRPr="00085460" w:rsidRDefault="003F0AF3" w:rsidP="003F0AF3">
            <w:pPr>
              <w:pStyle w:val="ListParagraph"/>
              <w:rPr>
                <w:rFonts w:cs="Arial"/>
                <w:noProof/>
                <w:sz w:val="18"/>
                <w:szCs w:val="18"/>
              </w:rPr>
            </w:pPr>
          </w:p>
        </w:tc>
      </w:tr>
      <w:tr w:rsidR="00085460" w:rsidRPr="00584901" w:rsidTr="00B81354">
        <w:trPr>
          <w:trHeight w:hRule="exact" w:val="2244"/>
        </w:trPr>
        <w:tc>
          <w:tcPr>
            <w:tcW w:w="11340" w:type="dxa"/>
            <w:gridSpan w:val="3"/>
            <w:tcBorders>
              <w:top w:val="double" w:sz="4" w:space="0" w:color="auto"/>
              <w:left w:val="single" w:sz="4" w:space="0" w:color="auto"/>
              <w:bottom w:val="double" w:sz="4" w:space="0" w:color="auto"/>
              <w:right w:val="single" w:sz="4" w:space="0" w:color="auto"/>
            </w:tcBorders>
            <w:shd w:val="clear" w:color="auto" w:fill="auto"/>
          </w:tcPr>
          <w:tbl>
            <w:tblPr>
              <w:tblStyle w:val="TableGrid"/>
              <w:tblW w:w="499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7"/>
              <w:gridCol w:w="236"/>
              <w:gridCol w:w="879"/>
              <w:gridCol w:w="236"/>
              <w:gridCol w:w="2147"/>
              <w:gridCol w:w="236"/>
              <w:gridCol w:w="894"/>
              <w:gridCol w:w="236"/>
              <w:gridCol w:w="2292"/>
              <w:gridCol w:w="236"/>
              <w:gridCol w:w="936"/>
            </w:tblGrid>
            <w:tr w:rsidR="00085460" w:rsidRPr="00D54FA3" w:rsidTr="00D54FA3">
              <w:trPr>
                <w:trHeight w:val="432"/>
              </w:trPr>
              <w:tc>
                <w:tcPr>
                  <w:tcW w:w="5000" w:type="pct"/>
                  <w:gridSpan w:val="11"/>
                  <w:tcBorders>
                    <w:top w:val="single" w:sz="4" w:space="0" w:color="auto"/>
                  </w:tcBorders>
                </w:tcPr>
                <w:p w:rsidR="00085460" w:rsidRPr="00D54FA3" w:rsidRDefault="00085460" w:rsidP="00085460">
                  <w:pPr>
                    <w:rPr>
                      <w:rFonts w:cs="Arial"/>
                      <w:noProof/>
                      <w:sz w:val="18"/>
                      <w:szCs w:val="18"/>
                    </w:rPr>
                  </w:pPr>
                  <w:r>
                    <w:rPr>
                      <w:b/>
                      <w:sz w:val="18"/>
                    </w:rPr>
                    <w:t>Entendemos, hemos ayudado a desarrollar y aceptamos cooperar y participar plenamente en todos los servicios ofrecidos en este Plan de Intervención de Seguridad Inmediata:</w:t>
                  </w:r>
                </w:p>
              </w:tc>
            </w:tr>
            <w:tr w:rsidR="00D54FA3" w:rsidRPr="00D54FA3" w:rsidTr="00D54FA3">
              <w:trPr>
                <w:trHeight w:val="360"/>
              </w:trPr>
              <w:tc>
                <w:tcPr>
                  <w:tcW w:w="1254" w:type="pct"/>
                  <w:vAlign w:val="bottom"/>
                </w:tcPr>
                <w:p w:rsidR="00D54FA3" w:rsidRPr="00D54FA3" w:rsidRDefault="00D54FA3" w:rsidP="00085460">
                  <w:pP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396" w:type="pct"/>
                  <w:tcBorders>
                    <w:left w:val="nil"/>
                  </w:tcBorders>
                  <w:vAlign w:val="bottom"/>
                </w:tcPr>
                <w:p w:rsidR="00D54FA3" w:rsidRPr="00D54FA3" w:rsidRDefault="00D54FA3" w:rsidP="00085460">
                  <w:pPr>
                    <w:jc w:val="cente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966" w:type="pct"/>
                  <w:tcBorders>
                    <w:left w:val="nil"/>
                  </w:tcBorders>
                  <w:vAlign w:val="bottom"/>
                </w:tcPr>
                <w:p w:rsidR="00D54FA3" w:rsidRPr="00D54FA3" w:rsidRDefault="00D54FA3" w:rsidP="00085460">
                  <w:pP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402" w:type="pct"/>
                  <w:tcBorders>
                    <w:left w:val="nil"/>
                  </w:tcBorders>
                  <w:vAlign w:val="bottom"/>
                </w:tcPr>
                <w:p w:rsidR="00D54FA3" w:rsidRPr="00D54FA3" w:rsidRDefault="00D54FA3" w:rsidP="00085460">
                  <w:pPr>
                    <w:jc w:val="cente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1031" w:type="pct"/>
                  <w:tcBorders>
                    <w:left w:val="nil"/>
                  </w:tcBorders>
                  <w:vAlign w:val="bottom"/>
                </w:tcPr>
                <w:p w:rsidR="00D54FA3" w:rsidRPr="00D54FA3" w:rsidRDefault="00D54FA3" w:rsidP="00085460">
                  <w:pPr>
                    <w:rPr>
                      <w:rFonts w:cs="Arial"/>
                      <w:sz w:val="18"/>
                      <w:szCs w:val="18"/>
                    </w:rPr>
                  </w:pPr>
                </w:p>
              </w:tc>
              <w:tc>
                <w:tcPr>
                  <w:tcW w:w="106" w:type="pct"/>
                  <w:vAlign w:val="bottom"/>
                </w:tcPr>
                <w:p w:rsidR="00D54FA3" w:rsidRPr="00D54FA3" w:rsidRDefault="00D54FA3" w:rsidP="00085460">
                  <w:pPr>
                    <w:rPr>
                      <w:rFonts w:cs="Arial"/>
                      <w:b/>
                      <w:noProof/>
                      <w:sz w:val="18"/>
                      <w:szCs w:val="18"/>
                    </w:rPr>
                  </w:pPr>
                </w:p>
              </w:tc>
              <w:tc>
                <w:tcPr>
                  <w:tcW w:w="420" w:type="pct"/>
                  <w:tcBorders>
                    <w:left w:val="nil"/>
                  </w:tcBorders>
                  <w:vAlign w:val="bottom"/>
                </w:tcPr>
                <w:p w:rsidR="00D54FA3" w:rsidRPr="00D54FA3" w:rsidRDefault="00D54FA3" w:rsidP="00085460">
                  <w:pPr>
                    <w:jc w:val="center"/>
                    <w:rPr>
                      <w:rFonts w:cs="Arial"/>
                      <w:sz w:val="18"/>
                      <w:szCs w:val="18"/>
                    </w:rPr>
                  </w:pPr>
                </w:p>
              </w:tc>
            </w:tr>
            <w:tr w:rsidR="00085460" w:rsidRPr="00D54FA3" w:rsidTr="00D54FA3">
              <w:trPr>
                <w:trHeight w:val="216"/>
              </w:trPr>
              <w:tc>
                <w:tcPr>
                  <w:tcW w:w="1254" w:type="pct"/>
                  <w:tcBorders>
                    <w:bottom w:val="single" w:sz="4" w:space="0" w:color="auto"/>
                  </w:tcBorders>
                  <w:vAlign w:val="bottom"/>
                </w:tcPr>
                <w:p w:rsidR="00085460" w:rsidRPr="00D54FA3" w:rsidRDefault="00085460" w:rsidP="00085460">
                  <w:pPr>
                    <w:rPr>
                      <w:rFonts w:cs="Arial"/>
                      <w:b/>
                      <w:noProof/>
                      <w:sz w:val="16"/>
                      <w:szCs w:val="18"/>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rPr>
                      <w:rFonts w:cs="Arial"/>
                      <w:b/>
                      <w:noProof/>
                      <w:sz w:val="16"/>
                      <w:szCs w:val="18"/>
                    </w:rPr>
                  </w:pPr>
                </w:p>
              </w:tc>
              <w:tc>
                <w:tcPr>
                  <w:tcW w:w="396" w:type="pct"/>
                  <w:tcBorders>
                    <w:left w:val="nil"/>
                    <w:bottom w:val="single" w:sz="4" w:space="0" w:color="auto"/>
                  </w:tcBorders>
                  <w:vAlign w:val="bottom"/>
                </w:tcPr>
                <w:p w:rsidR="00085460" w:rsidRPr="00D54FA3" w:rsidRDefault="00085460" w:rsidP="00085460">
                  <w:pPr>
                    <w:jc w:val="center"/>
                    <w:rPr>
                      <w:rFonts w:cs="Arial"/>
                      <w:b/>
                      <w:noProof/>
                      <w:sz w:val="16"/>
                      <w:szCs w:val="18"/>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rPr>
                      <w:rFonts w:cs="Arial"/>
                      <w:b/>
                      <w:noProof/>
                      <w:sz w:val="16"/>
                      <w:szCs w:val="18"/>
                    </w:rPr>
                  </w:pPr>
                </w:p>
              </w:tc>
              <w:tc>
                <w:tcPr>
                  <w:tcW w:w="966" w:type="pct"/>
                  <w:tcBorders>
                    <w:left w:val="nil"/>
                    <w:bottom w:val="single" w:sz="4" w:space="0" w:color="auto"/>
                  </w:tcBorders>
                  <w:vAlign w:val="bottom"/>
                </w:tcPr>
                <w:p w:rsidR="00085460" w:rsidRPr="00D54FA3" w:rsidRDefault="00085460" w:rsidP="00085460">
                  <w:pPr>
                    <w:rPr>
                      <w:rFonts w:cs="Arial"/>
                      <w:b/>
                      <w:noProof/>
                      <w:sz w:val="16"/>
                      <w:szCs w:val="18"/>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rPr>
                      <w:rFonts w:cs="Arial"/>
                      <w:b/>
                      <w:noProof/>
                      <w:sz w:val="16"/>
                      <w:szCs w:val="18"/>
                    </w:rPr>
                  </w:pPr>
                </w:p>
              </w:tc>
              <w:tc>
                <w:tcPr>
                  <w:tcW w:w="402" w:type="pct"/>
                  <w:tcBorders>
                    <w:left w:val="nil"/>
                    <w:bottom w:val="single" w:sz="4" w:space="0" w:color="auto"/>
                  </w:tcBorders>
                  <w:vAlign w:val="bottom"/>
                </w:tcPr>
                <w:p w:rsidR="00085460" w:rsidRPr="00D54FA3" w:rsidRDefault="00085460" w:rsidP="00085460">
                  <w:pPr>
                    <w:jc w:val="center"/>
                    <w:rPr>
                      <w:rFonts w:cs="Arial"/>
                      <w:b/>
                      <w:noProof/>
                      <w:sz w:val="16"/>
                      <w:szCs w:val="18"/>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rPr>
                      <w:rFonts w:cs="Arial"/>
                      <w:b/>
                      <w:noProof/>
                      <w:sz w:val="16"/>
                      <w:szCs w:val="18"/>
                    </w:rPr>
                  </w:pPr>
                </w:p>
              </w:tc>
              <w:tc>
                <w:tcPr>
                  <w:tcW w:w="1031" w:type="pct"/>
                  <w:tcBorders>
                    <w:left w:val="nil"/>
                    <w:bottom w:val="single" w:sz="4" w:space="0" w:color="auto"/>
                  </w:tcBorders>
                  <w:vAlign w:val="bottom"/>
                </w:tcPr>
                <w:p w:rsidR="00085460" w:rsidRPr="00D54FA3" w:rsidRDefault="00085460" w:rsidP="00085460">
                  <w:pPr>
                    <w:rPr>
                      <w:rFonts w:cs="Arial"/>
                      <w:b/>
                      <w:noProof/>
                      <w:sz w:val="16"/>
                      <w:szCs w:val="18"/>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rPr>
                      <w:rFonts w:cs="Arial"/>
                      <w:b/>
                      <w:noProof/>
                      <w:sz w:val="16"/>
                      <w:szCs w:val="18"/>
                    </w:rPr>
                  </w:pPr>
                </w:p>
              </w:tc>
              <w:tc>
                <w:tcPr>
                  <w:tcW w:w="420" w:type="pct"/>
                  <w:tcBorders>
                    <w:left w:val="nil"/>
                    <w:bottom w:val="single" w:sz="4" w:space="0" w:color="auto"/>
                  </w:tcBorders>
                  <w:vAlign w:val="bottom"/>
                </w:tcPr>
                <w:p w:rsidR="00085460" w:rsidRPr="00D54FA3" w:rsidRDefault="00085460" w:rsidP="00085460">
                  <w:pPr>
                    <w:jc w:val="center"/>
                    <w:rPr>
                      <w:rFonts w:cs="Arial"/>
                      <w:b/>
                      <w:noProof/>
                      <w:sz w:val="16"/>
                      <w:szCs w:val="18"/>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r>
            <w:tr w:rsidR="00085460" w:rsidRPr="00D54FA3" w:rsidTr="00BA6576">
              <w:trPr>
                <w:trHeight w:val="144"/>
              </w:trPr>
              <w:tc>
                <w:tcPr>
                  <w:tcW w:w="1254" w:type="pct"/>
                  <w:tcBorders>
                    <w:top w:val="single" w:sz="4" w:space="0" w:color="auto"/>
                  </w:tcBorders>
                </w:tcPr>
                <w:p w:rsidR="00085460" w:rsidRPr="00D54FA3" w:rsidRDefault="00085460" w:rsidP="00085460">
                  <w:pPr>
                    <w:jc w:val="center"/>
                    <w:rPr>
                      <w:rFonts w:cs="Arial"/>
                      <w:sz w:val="18"/>
                      <w:szCs w:val="18"/>
                    </w:rPr>
                  </w:pPr>
                  <w:r>
                    <w:rPr>
                      <w:sz w:val="18"/>
                    </w:rPr>
                    <w:t>Miembro de la familia</w:t>
                  </w:r>
                </w:p>
                <w:p w:rsidR="00085460" w:rsidRPr="00D54FA3" w:rsidRDefault="00085460" w:rsidP="00085460">
                  <w:pPr>
                    <w:jc w:val="center"/>
                    <w:rPr>
                      <w:rFonts w:cs="Arial"/>
                      <w:b/>
                      <w:noProof/>
                      <w:sz w:val="18"/>
                      <w:szCs w:val="18"/>
                    </w:rPr>
                  </w:pPr>
                </w:p>
              </w:tc>
              <w:tc>
                <w:tcPr>
                  <w:tcW w:w="106" w:type="pct"/>
                </w:tcPr>
                <w:p w:rsidR="00085460" w:rsidRPr="00D54FA3" w:rsidRDefault="00085460" w:rsidP="00085460">
                  <w:pPr>
                    <w:jc w:val="center"/>
                    <w:rPr>
                      <w:rFonts w:cs="Arial"/>
                      <w:sz w:val="18"/>
                      <w:szCs w:val="18"/>
                    </w:rPr>
                  </w:pPr>
                </w:p>
              </w:tc>
              <w:tc>
                <w:tcPr>
                  <w:tcW w:w="396" w:type="pct"/>
                  <w:tcBorders>
                    <w:top w:val="single" w:sz="4" w:space="0" w:color="auto"/>
                    <w:left w:val="nil"/>
                  </w:tcBorders>
                </w:tcPr>
                <w:p w:rsidR="00085460" w:rsidRPr="00D54FA3" w:rsidRDefault="00085460" w:rsidP="00085460">
                  <w:pPr>
                    <w:jc w:val="center"/>
                    <w:rPr>
                      <w:rFonts w:cs="Arial"/>
                      <w:b/>
                      <w:noProof/>
                      <w:sz w:val="18"/>
                      <w:szCs w:val="18"/>
                    </w:rPr>
                  </w:pPr>
                  <w:r>
                    <w:rPr>
                      <w:sz w:val="18"/>
                    </w:rPr>
                    <w:t>Fecha</w:t>
                  </w:r>
                </w:p>
              </w:tc>
              <w:tc>
                <w:tcPr>
                  <w:tcW w:w="106" w:type="pct"/>
                </w:tcPr>
                <w:p w:rsidR="00085460" w:rsidRPr="00D54FA3" w:rsidRDefault="00085460" w:rsidP="00085460">
                  <w:pPr>
                    <w:jc w:val="center"/>
                    <w:rPr>
                      <w:rFonts w:cs="Arial"/>
                      <w:sz w:val="18"/>
                      <w:szCs w:val="18"/>
                    </w:rPr>
                  </w:pPr>
                </w:p>
              </w:tc>
              <w:tc>
                <w:tcPr>
                  <w:tcW w:w="966" w:type="pct"/>
                  <w:tcBorders>
                    <w:top w:val="single" w:sz="4" w:space="0" w:color="auto"/>
                    <w:left w:val="nil"/>
                  </w:tcBorders>
                </w:tcPr>
                <w:p w:rsidR="00085460" w:rsidRPr="00D54FA3" w:rsidRDefault="00085460" w:rsidP="00085460">
                  <w:pPr>
                    <w:jc w:val="center"/>
                    <w:rPr>
                      <w:rFonts w:cs="Arial"/>
                      <w:b/>
                      <w:noProof/>
                      <w:sz w:val="18"/>
                      <w:szCs w:val="18"/>
                    </w:rPr>
                  </w:pPr>
                  <w:r>
                    <w:rPr>
                      <w:sz w:val="18"/>
                    </w:rPr>
                    <w:t>Miembro de la familia</w:t>
                  </w:r>
                </w:p>
              </w:tc>
              <w:tc>
                <w:tcPr>
                  <w:tcW w:w="106" w:type="pct"/>
                </w:tcPr>
                <w:p w:rsidR="00085460" w:rsidRPr="00D54FA3" w:rsidRDefault="00085460" w:rsidP="00085460">
                  <w:pPr>
                    <w:jc w:val="center"/>
                    <w:rPr>
                      <w:rFonts w:cs="Arial"/>
                      <w:sz w:val="18"/>
                      <w:szCs w:val="18"/>
                    </w:rPr>
                  </w:pPr>
                </w:p>
              </w:tc>
              <w:tc>
                <w:tcPr>
                  <w:tcW w:w="402" w:type="pct"/>
                  <w:tcBorders>
                    <w:top w:val="single" w:sz="4" w:space="0" w:color="auto"/>
                    <w:left w:val="nil"/>
                  </w:tcBorders>
                </w:tcPr>
                <w:p w:rsidR="00085460" w:rsidRPr="00D54FA3" w:rsidRDefault="00085460" w:rsidP="00085460">
                  <w:pPr>
                    <w:jc w:val="center"/>
                    <w:rPr>
                      <w:rFonts w:cs="Arial"/>
                      <w:b/>
                      <w:noProof/>
                      <w:sz w:val="18"/>
                      <w:szCs w:val="18"/>
                    </w:rPr>
                  </w:pPr>
                  <w:r>
                    <w:rPr>
                      <w:sz w:val="18"/>
                    </w:rPr>
                    <w:t>Fecha</w:t>
                  </w:r>
                </w:p>
              </w:tc>
              <w:tc>
                <w:tcPr>
                  <w:tcW w:w="106" w:type="pct"/>
                </w:tcPr>
                <w:p w:rsidR="00085460" w:rsidRPr="00D54FA3" w:rsidRDefault="00085460" w:rsidP="00085460">
                  <w:pPr>
                    <w:jc w:val="center"/>
                    <w:rPr>
                      <w:rFonts w:cs="Arial"/>
                      <w:sz w:val="18"/>
                      <w:szCs w:val="18"/>
                    </w:rPr>
                  </w:pPr>
                </w:p>
              </w:tc>
              <w:tc>
                <w:tcPr>
                  <w:tcW w:w="1031" w:type="pct"/>
                  <w:tcBorders>
                    <w:top w:val="single" w:sz="4" w:space="0" w:color="auto"/>
                    <w:left w:val="nil"/>
                  </w:tcBorders>
                </w:tcPr>
                <w:p w:rsidR="00085460" w:rsidRPr="00D54FA3" w:rsidRDefault="00085460" w:rsidP="00085460">
                  <w:pPr>
                    <w:jc w:val="center"/>
                    <w:rPr>
                      <w:rFonts w:cs="Arial"/>
                      <w:b/>
                      <w:noProof/>
                      <w:sz w:val="18"/>
                      <w:szCs w:val="18"/>
                    </w:rPr>
                  </w:pPr>
                  <w:r>
                    <w:rPr>
                      <w:sz w:val="18"/>
                    </w:rPr>
                    <w:t>Miembro de la familia</w:t>
                  </w:r>
                </w:p>
              </w:tc>
              <w:tc>
                <w:tcPr>
                  <w:tcW w:w="106" w:type="pct"/>
                </w:tcPr>
                <w:p w:rsidR="00085460" w:rsidRPr="00D54FA3" w:rsidRDefault="00085460" w:rsidP="00085460">
                  <w:pPr>
                    <w:jc w:val="center"/>
                    <w:rPr>
                      <w:rFonts w:cs="Arial"/>
                      <w:sz w:val="18"/>
                      <w:szCs w:val="18"/>
                    </w:rPr>
                  </w:pPr>
                </w:p>
              </w:tc>
              <w:tc>
                <w:tcPr>
                  <w:tcW w:w="420" w:type="pct"/>
                  <w:tcBorders>
                    <w:top w:val="single" w:sz="4" w:space="0" w:color="auto"/>
                    <w:left w:val="nil"/>
                  </w:tcBorders>
                </w:tcPr>
                <w:p w:rsidR="00085460" w:rsidRPr="00D54FA3" w:rsidRDefault="00085460" w:rsidP="00085460">
                  <w:pPr>
                    <w:jc w:val="center"/>
                    <w:rPr>
                      <w:rFonts w:cs="Arial"/>
                      <w:b/>
                      <w:noProof/>
                      <w:sz w:val="18"/>
                      <w:szCs w:val="18"/>
                    </w:rPr>
                  </w:pPr>
                  <w:r>
                    <w:rPr>
                      <w:sz w:val="18"/>
                    </w:rPr>
                    <w:t>Fecha</w:t>
                  </w:r>
                </w:p>
              </w:tc>
            </w:tr>
            <w:tr w:rsidR="00085460" w:rsidRPr="00D54FA3" w:rsidTr="00D54FA3">
              <w:trPr>
                <w:trHeight w:val="216"/>
              </w:trPr>
              <w:tc>
                <w:tcPr>
                  <w:tcW w:w="1254" w:type="pct"/>
                  <w:tcBorders>
                    <w:bottom w:val="single" w:sz="4" w:space="0" w:color="auto"/>
                  </w:tcBorders>
                  <w:vAlign w:val="bottom"/>
                </w:tcPr>
                <w:p w:rsidR="00085460" w:rsidRPr="00D54FA3" w:rsidRDefault="00085460" w:rsidP="00085460">
                  <w:pPr>
                    <w:rPr>
                      <w:rFonts w:cs="Arial"/>
                      <w:sz w:val="16"/>
                      <w:szCs w:val="16"/>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jc w:val="center"/>
                    <w:rPr>
                      <w:rFonts w:cs="Arial"/>
                      <w:sz w:val="16"/>
                      <w:szCs w:val="16"/>
                    </w:rPr>
                  </w:pPr>
                </w:p>
              </w:tc>
              <w:tc>
                <w:tcPr>
                  <w:tcW w:w="396" w:type="pct"/>
                  <w:tcBorders>
                    <w:left w:val="nil"/>
                    <w:bottom w:val="single" w:sz="4" w:space="0" w:color="auto"/>
                  </w:tcBorders>
                  <w:vAlign w:val="bottom"/>
                </w:tcPr>
                <w:p w:rsidR="00085460" w:rsidRPr="00D54FA3" w:rsidRDefault="00085460" w:rsidP="00085460">
                  <w:pPr>
                    <w:jc w:val="center"/>
                    <w:rPr>
                      <w:rFonts w:cs="Arial"/>
                      <w:sz w:val="16"/>
                      <w:szCs w:val="16"/>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jc w:val="center"/>
                    <w:rPr>
                      <w:rFonts w:cs="Arial"/>
                      <w:sz w:val="16"/>
                      <w:szCs w:val="16"/>
                    </w:rPr>
                  </w:pPr>
                </w:p>
              </w:tc>
              <w:tc>
                <w:tcPr>
                  <w:tcW w:w="966" w:type="pct"/>
                  <w:tcBorders>
                    <w:left w:val="nil"/>
                    <w:bottom w:val="single" w:sz="4" w:space="0" w:color="auto"/>
                  </w:tcBorders>
                  <w:vAlign w:val="bottom"/>
                </w:tcPr>
                <w:p w:rsidR="00085460" w:rsidRPr="00D54FA3" w:rsidRDefault="00085460" w:rsidP="00085460">
                  <w:pPr>
                    <w:rPr>
                      <w:rFonts w:cs="Arial"/>
                      <w:sz w:val="16"/>
                      <w:szCs w:val="16"/>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jc w:val="center"/>
                    <w:rPr>
                      <w:rFonts w:cs="Arial"/>
                      <w:sz w:val="16"/>
                      <w:szCs w:val="16"/>
                    </w:rPr>
                  </w:pPr>
                </w:p>
              </w:tc>
              <w:tc>
                <w:tcPr>
                  <w:tcW w:w="402" w:type="pct"/>
                  <w:tcBorders>
                    <w:left w:val="nil"/>
                    <w:bottom w:val="single" w:sz="4" w:space="0" w:color="auto"/>
                  </w:tcBorders>
                  <w:vAlign w:val="bottom"/>
                </w:tcPr>
                <w:p w:rsidR="00085460" w:rsidRPr="00D54FA3" w:rsidRDefault="00085460" w:rsidP="00085460">
                  <w:pPr>
                    <w:jc w:val="center"/>
                    <w:rPr>
                      <w:rFonts w:cs="Arial"/>
                      <w:sz w:val="16"/>
                      <w:szCs w:val="16"/>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jc w:val="center"/>
                    <w:rPr>
                      <w:rFonts w:cs="Arial"/>
                      <w:sz w:val="16"/>
                      <w:szCs w:val="16"/>
                    </w:rPr>
                  </w:pPr>
                </w:p>
              </w:tc>
              <w:tc>
                <w:tcPr>
                  <w:tcW w:w="1031" w:type="pct"/>
                  <w:tcBorders>
                    <w:left w:val="nil"/>
                    <w:bottom w:val="single" w:sz="4" w:space="0" w:color="auto"/>
                  </w:tcBorders>
                  <w:vAlign w:val="bottom"/>
                </w:tcPr>
                <w:p w:rsidR="00085460" w:rsidRPr="00D54FA3" w:rsidRDefault="00085460" w:rsidP="00085460">
                  <w:pPr>
                    <w:rPr>
                      <w:rFonts w:cs="Arial"/>
                      <w:sz w:val="16"/>
                      <w:szCs w:val="16"/>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c>
                <w:tcPr>
                  <w:tcW w:w="106" w:type="pct"/>
                  <w:vAlign w:val="bottom"/>
                </w:tcPr>
                <w:p w:rsidR="00085460" w:rsidRPr="00D54FA3" w:rsidRDefault="00085460" w:rsidP="00085460">
                  <w:pPr>
                    <w:jc w:val="center"/>
                    <w:rPr>
                      <w:rFonts w:cs="Arial"/>
                      <w:sz w:val="16"/>
                      <w:szCs w:val="16"/>
                    </w:rPr>
                  </w:pPr>
                </w:p>
              </w:tc>
              <w:tc>
                <w:tcPr>
                  <w:tcW w:w="420" w:type="pct"/>
                  <w:tcBorders>
                    <w:left w:val="nil"/>
                    <w:bottom w:val="single" w:sz="4" w:space="0" w:color="auto"/>
                  </w:tcBorders>
                  <w:vAlign w:val="bottom"/>
                </w:tcPr>
                <w:p w:rsidR="00085460" w:rsidRPr="00D54FA3" w:rsidRDefault="00085460" w:rsidP="00085460">
                  <w:pPr>
                    <w:jc w:val="center"/>
                    <w:rPr>
                      <w:rFonts w:cs="Arial"/>
                      <w:sz w:val="16"/>
                      <w:szCs w:val="16"/>
                    </w:rPr>
                  </w:pPr>
                  <w:r w:rsidRPr="00D54FA3">
                    <w:rPr>
                      <w:rFonts w:cs="Arial"/>
                      <w:sz w:val="16"/>
                    </w:rPr>
                    <w:fldChar w:fldCharType="begin" w:fldLock="1">
                      <w:ffData>
                        <w:name w:val="Text1"/>
                        <w:enabled/>
                        <w:calcOnExit w:val="0"/>
                        <w:textInput/>
                      </w:ffData>
                    </w:fldChar>
                  </w:r>
                  <w:r w:rsidRPr="00D54FA3">
                    <w:rPr>
                      <w:rFonts w:cs="Arial"/>
                      <w:sz w:val="16"/>
                    </w:rPr>
                    <w:instrText xml:space="preserve"> FORMTEXT </w:instrText>
                  </w:r>
                  <w:r w:rsidRPr="00D54FA3">
                    <w:rPr>
                      <w:rFonts w:cs="Arial"/>
                      <w:sz w:val="16"/>
                    </w:rPr>
                  </w:r>
                  <w:r w:rsidRPr="00D54FA3">
                    <w:rPr>
                      <w:rFonts w:cs="Arial"/>
                      <w:sz w:val="16"/>
                    </w:rPr>
                    <w:fldChar w:fldCharType="separate"/>
                  </w:r>
                  <w:r>
                    <w:rPr>
                      <w:sz w:val="16"/>
                    </w:rPr>
                    <w:t>     </w:t>
                  </w:r>
                  <w:r w:rsidRPr="00D54FA3">
                    <w:rPr>
                      <w:rFonts w:cs="Arial"/>
                      <w:sz w:val="16"/>
                    </w:rPr>
                    <w:fldChar w:fldCharType="end"/>
                  </w:r>
                </w:p>
              </w:tc>
            </w:tr>
            <w:tr w:rsidR="00085460" w:rsidRPr="00D54FA3" w:rsidTr="00BA6576">
              <w:trPr>
                <w:trHeight w:val="144"/>
              </w:trPr>
              <w:tc>
                <w:tcPr>
                  <w:tcW w:w="1254" w:type="pct"/>
                  <w:tcBorders>
                    <w:top w:val="single" w:sz="4" w:space="0" w:color="auto"/>
                  </w:tcBorders>
                </w:tcPr>
                <w:p w:rsidR="00085460" w:rsidRPr="00D54FA3" w:rsidRDefault="00085460" w:rsidP="00085460">
                  <w:pPr>
                    <w:jc w:val="center"/>
                    <w:rPr>
                      <w:rFonts w:cs="Arial"/>
                      <w:sz w:val="18"/>
                      <w:szCs w:val="18"/>
                    </w:rPr>
                  </w:pPr>
                  <w:r>
                    <w:rPr>
                      <w:sz w:val="18"/>
                    </w:rPr>
                    <w:t xml:space="preserve">Otro apoyo </w:t>
                  </w:r>
                  <w:r w:rsidR="00955E9B">
                    <w:rPr>
                      <w:sz w:val="18"/>
                    </w:rPr>
                    <w:br/>
                  </w:r>
                  <w:r>
                    <w:rPr>
                      <w:sz w:val="18"/>
                    </w:rPr>
                    <w:t>(especificar relación)</w:t>
                  </w:r>
                </w:p>
              </w:tc>
              <w:tc>
                <w:tcPr>
                  <w:tcW w:w="106" w:type="pct"/>
                </w:tcPr>
                <w:p w:rsidR="00085460" w:rsidRPr="00D54FA3" w:rsidRDefault="00085460" w:rsidP="00085460">
                  <w:pPr>
                    <w:jc w:val="center"/>
                    <w:rPr>
                      <w:rFonts w:cs="Arial"/>
                      <w:sz w:val="18"/>
                      <w:szCs w:val="18"/>
                    </w:rPr>
                  </w:pPr>
                </w:p>
              </w:tc>
              <w:tc>
                <w:tcPr>
                  <w:tcW w:w="396" w:type="pct"/>
                  <w:tcBorders>
                    <w:top w:val="single" w:sz="4" w:space="0" w:color="auto"/>
                    <w:left w:val="nil"/>
                  </w:tcBorders>
                </w:tcPr>
                <w:p w:rsidR="00085460" w:rsidRPr="00D54FA3" w:rsidRDefault="00085460" w:rsidP="00085460">
                  <w:pPr>
                    <w:jc w:val="center"/>
                    <w:rPr>
                      <w:rFonts w:cs="Arial"/>
                      <w:sz w:val="18"/>
                      <w:szCs w:val="18"/>
                    </w:rPr>
                  </w:pPr>
                  <w:r>
                    <w:rPr>
                      <w:sz w:val="18"/>
                    </w:rPr>
                    <w:t>Fecha</w:t>
                  </w:r>
                </w:p>
              </w:tc>
              <w:tc>
                <w:tcPr>
                  <w:tcW w:w="106" w:type="pct"/>
                </w:tcPr>
                <w:p w:rsidR="00085460" w:rsidRPr="00D54FA3" w:rsidRDefault="00085460" w:rsidP="00085460">
                  <w:pPr>
                    <w:jc w:val="center"/>
                    <w:rPr>
                      <w:rFonts w:cs="Arial"/>
                      <w:sz w:val="18"/>
                      <w:szCs w:val="18"/>
                    </w:rPr>
                  </w:pPr>
                </w:p>
              </w:tc>
              <w:tc>
                <w:tcPr>
                  <w:tcW w:w="966" w:type="pct"/>
                  <w:tcBorders>
                    <w:top w:val="single" w:sz="4" w:space="0" w:color="auto"/>
                    <w:left w:val="nil"/>
                  </w:tcBorders>
                </w:tcPr>
                <w:p w:rsidR="00085460" w:rsidRPr="00D54FA3" w:rsidRDefault="00085460" w:rsidP="00085460">
                  <w:pPr>
                    <w:jc w:val="center"/>
                    <w:rPr>
                      <w:rFonts w:cs="Arial"/>
                      <w:sz w:val="18"/>
                      <w:szCs w:val="18"/>
                    </w:rPr>
                  </w:pPr>
                  <w:r>
                    <w:rPr>
                      <w:sz w:val="18"/>
                    </w:rPr>
                    <w:t>Trabajador</w:t>
                  </w:r>
                </w:p>
              </w:tc>
              <w:tc>
                <w:tcPr>
                  <w:tcW w:w="106" w:type="pct"/>
                </w:tcPr>
                <w:p w:rsidR="00085460" w:rsidRPr="00D54FA3" w:rsidRDefault="00085460" w:rsidP="00085460">
                  <w:pPr>
                    <w:jc w:val="center"/>
                    <w:rPr>
                      <w:rFonts w:cs="Arial"/>
                      <w:sz w:val="18"/>
                      <w:szCs w:val="18"/>
                    </w:rPr>
                  </w:pPr>
                </w:p>
              </w:tc>
              <w:tc>
                <w:tcPr>
                  <w:tcW w:w="402" w:type="pct"/>
                  <w:tcBorders>
                    <w:top w:val="single" w:sz="4" w:space="0" w:color="auto"/>
                    <w:left w:val="nil"/>
                  </w:tcBorders>
                </w:tcPr>
                <w:p w:rsidR="00085460" w:rsidRPr="00D54FA3" w:rsidRDefault="00085460" w:rsidP="00085460">
                  <w:pPr>
                    <w:jc w:val="center"/>
                    <w:rPr>
                      <w:rFonts w:cs="Arial"/>
                      <w:sz w:val="18"/>
                      <w:szCs w:val="18"/>
                    </w:rPr>
                  </w:pPr>
                  <w:r>
                    <w:rPr>
                      <w:sz w:val="18"/>
                    </w:rPr>
                    <w:t>Fecha</w:t>
                  </w:r>
                </w:p>
              </w:tc>
              <w:tc>
                <w:tcPr>
                  <w:tcW w:w="106" w:type="pct"/>
                </w:tcPr>
                <w:p w:rsidR="00085460" w:rsidRPr="00D54FA3" w:rsidRDefault="00085460" w:rsidP="00085460">
                  <w:pPr>
                    <w:jc w:val="center"/>
                    <w:rPr>
                      <w:rFonts w:cs="Arial"/>
                      <w:sz w:val="18"/>
                      <w:szCs w:val="18"/>
                    </w:rPr>
                  </w:pPr>
                </w:p>
              </w:tc>
              <w:tc>
                <w:tcPr>
                  <w:tcW w:w="1031" w:type="pct"/>
                  <w:tcBorders>
                    <w:top w:val="single" w:sz="4" w:space="0" w:color="auto"/>
                    <w:left w:val="nil"/>
                  </w:tcBorders>
                </w:tcPr>
                <w:p w:rsidR="00085460" w:rsidRPr="00D54FA3" w:rsidRDefault="00085460" w:rsidP="00085460">
                  <w:pPr>
                    <w:jc w:val="center"/>
                    <w:rPr>
                      <w:rFonts w:cs="Arial"/>
                      <w:sz w:val="18"/>
                      <w:szCs w:val="18"/>
                    </w:rPr>
                  </w:pPr>
                  <w:r>
                    <w:rPr>
                      <w:sz w:val="18"/>
                    </w:rPr>
                    <w:t>Supervisor</w:t>
                  </w:r>
                </w:p>
              </w:tc>
              <w:tc>
                <w:tcPr>
                  <w:tcW w:w="106" w:type="pct"/>
                </w:tcPr>
                <w:p w:rsidR="00085460" w:rsidRPr="00D54FA3" w:rsidRDefault="00085460" w:rsidP="00085460">
                  <w:pPr>
                    <w:jc w:val="center"/>
                    <w:rPr>
                      <w:rFonts w:cs="Arial"/>
                      <w:sz w:val="18"/>
                      <w:szCs w:val="18"/>
                    </w:rPr>
                  </w:pPr>
                </w:p>
              </w:tc>
              <w:tc>
                <w:tcPr>
                  <w:tcW w:w="420" w:type="pct"/>
                  <w:tcBorders>
                    <w:top w:val="single" w:sz="4" w:space="0" w:color="auto"/>
                    <w:left w:val="nil"/>
                  </w:tcBorders>
                </w:tcPr>
                <w:p w:rsidR="00085460" w:rsidRPr="00D54FA3" w:rsidRDefault="00085460" w:rsidP="00085460">
                  <w:pPr>
                    <w:jc w:val="center"/>
                    <w:rPr>
                      <w:rFonts w:cs="Arial"/>
                      <w:sz w:val="18"/>
                      <w:szCs w:val="18"/>
                    </w:rPr>
                  </w:pPr>
                  <w:r>
                    <w:rPr>
                      <w:sz w:val="18"/>
                    </w:rPr>
                    <w:t>Fecha</w:t>
                  </w:r>
                </w:p>
              </w:tc>
            </w:tr>
          </w:tbl>
          <w:p w:rsidR="00085460" w:rsidRPr="00D54FA3" w:rsidRDefault="00085460" w:rsidP="00085460">
            <w:pPr>
              <w:tabs>
                <w:tab w:val="left" w:pos="13035"/>
              </w:tabs>
              <w:rPr>
                <w:rFonts w:cs="Arial"/>
                <w:sz w:val="18"/>
                <w:szCs w:val="18"/>
              </w:rPr>
            </w:pPr>
            <w:r>
              <w:rPr>
                <w:sz w:val="18"/>
              </w:rPr>
              <w:tab/>
            </w:r>
          </w:p>
          <w:p w:rsidR="00085460" w:rsidRPr="00D54FA3" w:rsidRDefault="00085460" w:rsidP="00085460">
            <w:pPr>
              <w:rPr>
                <w:rFonts w:cs="Arial"/>
                <w:b/>
                <w:sz w:val="18"/>
                <w:szCs w:val="18"/>
              </w:rPr>
            </w:pPr>
            <w:r>
              <w:br w:type="page"/>
            </w:r>
          </w:p>
          <w:p w:rsidR="00085460" w:rsidRPr="00D54FA3" w:rsidRDefault="00085460" w:rsidP="00085460">
            <w:pPr>
              <w:rPr>
                <w:rFonts w:cs="Arial"/>
                <w:b/>
                <w:sz w:val="18"/>
                <w:szCs w:val="18"/>
              </w:rPr>
            </w:pPr>
          </w:p>
          <w:p w:rsidR="00085460" w:rsidRPr="00D54FA3" w:rsidRDefault="00085460" w:rsidP="00085460">
            <w:pPr>
              <w:tabs>
                <w:tab w:val="left" w:pos="540"/>
              </w:tabs>
              <w:ind w:left="900" w:hanging="900"/>
              <w:rPr>
                <w:rFonts w:cs="Arial"/>
                <w:sz w:val="18"/>
                <w:szCs w:val="18"/>
              </w:rPr>
            </w:pPr>
          </w:p>
          <w:p w:rsidR="00085460" w:rsidRPr="00D54FA3" w:rsidRDefault="00085460" w:rsidP="00085460">
            <w:pPr>
              <w:ind w:left="900" w:hanging="360"/>
              <w:rPr>
                <w:rFonts w:cs="Arial"/>
                <w:sz w:val="18"/>
                <w:szCs w:val="18"/>
              </w:rPr>
            </w:pPr>
          </w:p>
          <w:p w:rsidR="00085460" w:rsidRPr="00D54FA3" w:rsidRDefault="00085460" w:rsidP="00085460">
            <w:pPr>
              <w:ind w:right="158"/>
              <w:rPr>
                <w:rFonts w:cs="Arial"/>
                <w:b/>
                <w:sz w:val="18"/>
                <w:szCs w:val="18"/>
              </w:rPr>
            </w:pPr>
          </w:p>
        </w:tc>
      </w:tr>
      <w:tr w:rsidR="00B81354" w:rsidRPr="00584901" w:rsidTr="00B81354">
        <w:trPr>
          <w:trHeight w:val="32"/>
        </w:trPr>
        <w:tc>
          <w:tcPr>
            <w:tcW w:w="5670" w:type="dxa"/>
            <w:gridSpan w:val="2"/>
            <w:tcBorders>
              <w:top w:val="double" w:sz="4" w:space="0" w:color="auto"/>
              <w:left w:val="single" w:sz="4" w:space="0" w:color="auto"/>
              <w:bottom w:val="double" w:sz="4" w:space="0" w:color="auto"/>
              <w:right w:val="single" w:sz="4" w:space="0" w:color="auto"/>
            </w:tcBorders>
            <w:shd w:val="clear" w:color="auto" w:fill="auto"/>
          </w:tcPr>
          <w:p w:rsidR="00B81354" w:rsidRPr="00D54FA3" w:rsidRDefault="00B81354" w:rsidP="001358CE">
            <w:pPr>
              <w:tabs>
                <w:tab w:val="left" w:pos="5928"/>
              </w:tabs>
              <w:spacing w:before="6"/>
              <w:rPr>
                <w:rFonts w:cs="Arial"/>
                <w:sz w:val="18"/>
                <w:szCs w:val="18"/>
              </w:rPr>
            </w:pPr>
            <w:r>
              <w:rPr>
                <w:sz w:val="18"/>
              </w:rPr>
              <w:t>Dirección de correo electrónico del trabajador de la División Infantil</w:t>
            </w:r>
          </w:p>
          <w:p w:rsidR="00B81354" w:rsidRPr="002773BE" w:rsidRDefault="00B81354" w:rsidP="001358CE">
            <w:pPr>
              <w:contextualSpacing/>
              <w:rPr>
                <w:rFonts w:eastAsia="Calibri" w:cs="Arial"/>
                <w:sz w:val="18"/>
                <w:szCs w:val="18"/>
              </w:rPr>
            </w:pPr>
            <w:r w:rsidRPr="002773BE">
              <w:rPr>
                <w:rFonts w:eastAsia="Calibri" w:cs="Arial"/>
                <w:sz w:val="18"/>
              </w:rPr>
              <w:fldChar w:fldCharType="begin" w:fldLock="1">
                <w:ffData>
                  <w:name w:val="Text1"/>
                  <w:enabled/>
                  <w:calcOnExit w:val="0"/>
                  <w:textInput/>
                </w:ffData>
              </w:fldChar>
            </w:r>
            <w:r w:rsidRPr="002773BE">
              <w:rPr>
                <w:rFonts w:eastAsia="Calibri" w:cs="Arial"/>
                <w:sz w:val="18"/>
              </w:rPr>
              <w:instrText xml:space="preserve"> FORMTEXT </w:instrText>
            </w:r>
            <w:r w:rsidRPr="002773BE">
              <w:rPr>
                <w:rFonts w:eastAsia="Calibri" w:cs="Arial"/>
                <w:sz w:val="18"/>
              </w:rPr>
            </w:r>
            <w:r w:rsidRPr="002773BE">
              <w:rPr>
                <w:rFonts w:eastAsia="Calibri" w:cs="Arial"/>
                <w:sz w:val="18"/>
              </w:rPr>
              <w:fldChar w:fldCharType="separate"/>
            </w:r>
            <w:r>
              <w:rPr>
                <w:sz w:val="18"/>
              </w:rPr>
              <w:t>     </w:t>
            </w:r>
            <w:r w:rsidRPr="002773BE">
              <w:rPr>
                <w:rFonts w:eastAsia="Calibri" w:cs="Arial"/>
                <w:sz w:val="18"/>
              </w:rPr>
              <w:fldChar w:fldCharType="end"/>
            </w:r>
          </w:p>
        </w:tc>
        <w:tc>
          <w:tcPr>
            <w:tcW w:w="5670" w:type="dxa"/>
            <w:tcBorders>
              <w:top w:val="double" w:sz="4" w:space="0" w:color="auto"/>
              <w:left w:val="single" w:sz="4" w:space="0" w:color="auto"/>
              <w:bottom w:val="double" w:sz="4" w:space="0" w:color="auto"/>
              <w:right w:val="single" w:sz="4" w:space="0" w:color="auto"/>
            </w:tcBorders>
            <w:shd w:val="clear" w:color="auto" w:fill="auto"/>
          </w:tcPr>
          <w:p w:rsidR="00B81354" w:rsidRPr="00D54FA3" w:rsidRDefault="00B81354" w:rsidP="001358CE">
            <w:pPr>
              <w:tabs>
                <w:tab w:val="left" w:pos="5928"/>
              </w:tabs>
              <w:spacing w:before="6"/>
              <w:rPr>
                <w:rFonts w:cs="Arial"/>
                <w:sz w:val="18"/>
                <w:szCs w:val="18"/>
              </w:rPr>
            </w:pPr>
            <w:r>
              <w:rPr>
                <w:sz w:val="18"/>
              </w:rPr>
              <w:t>Número de teléfono del trabajador de la División Infantil</w:t>
            </w:r>
          </w:p>
          <w:p w:rsidR="00B81354" w:rsidRPr="002773BE" w:rsidRDefault="00B81354" w:rsidP="001358CE">
            <w:pPr>
              <w:contextualSpacing/>
              <w:rPr>
                <w:rFonts w:eastAsia="Calibri" w:cs="Arial"/>
                <w:sz w:val="18"/>
                <w:szCs w:val="18"/>
              </w:rPr>
            </w:pPr>
            <w:r w:rsidRPr="002773BE">
              <w:rPr>
                <w:rFonts w:eastAsia="Calibri" w:cs="Arial"/>
                <w:sz w:val="18"/>
              </w:rPr>
              <w:fldChar w:fldCharType="begin" w:fldLock="1">
                <w:ffData>
                  <w:name w:val="Text1"/>
                  <w:enabled/>
                  <w:calcOnExit w:val="0"/>
                  <w:textInput/>
                </w:ffData>
              </w:fldChar>
            </w:r>
            <w:r w:rsidRPr="002773BE">
              <w:rPr>
                <w:rFonts w:eastAsia="Calibri" w:cs="Arial"/>
                <w:sz w:val="18"/>
              </w:rPr>
              <w:instrText xml:space="preserve"> FORMTEXT </w:instrText>
            </w:r>
            <w:r w:rsidRPr="002773BE">
              <w:rPr>
                <w:rFonts w:eastAsia="Calibri" w:cs="Arial"/>
                <w:sz w:val="18"/>
              </w:rPr>
            </w:r>
            <w:r w:rsidRPr="002773BE">
              <w:rPr>
                <w:rFonts w:eastAsia="Calibri" w:cs="Arial"/>
                <w:sz w:val="18"/>
              </w:rPr>
              <w:fldChar w:fldCharType="separate"/>
            </w:r>
            <w:r>
              <w:rPr>
                <w:sz w:val="18"/>
              </w:rPr>
              <w:t>     </w:t>
            </w:r>
            <w:r w:rsidRPr="002773BE">
              <w:rPr>
                <w:rFonts w:eastAsia="Calibri" w:cs="Arial"/>
                <w:sz w:val="18"/>
              </w:rPr>
              <w:fldChar w:fldCharType="end"/>
            </w:r>
          </w:p>
        </w:tc>
      </w:tr>
      <w:tr w:rsidR="00085460" w:rsidRPr="00584901" w:rsidTr="00B81354">
        <w:tc>
          <w:tcPr>
            <w:tcW w:w="11340" w:type="dxa"/>
            <w:gridSpan w:val="3"/>
            <w:tcBorders>
              <w:top w:val="double" w:sz="4" w:space="0" w:color="auto"/>
              <w:left w:val="single" w:sz="4" w:space="0" w:color="auto"/>
              <w:bottom w:val="single" w:sz="4" w:space="0" w:color="auto"/>
              <w:right w:val="single" w:sz="4" w:space="0" w:color="auto"/>
            </w:tcBorders>
            <w:shd w:val="clear" w:color="auto" w:fill="auto"/>
          </w:tcPr>
          <w:p w:rsidR="00085460" w:rsidRPr="00C95FB6" w:rsidRDefault="00085460" w:rsidP="00085460">
            <w:pPr>
              <w:jc w:val="both"/>
              <w:rPr>
                <w:rFonts w:cs="Arial"/>
                <w:sz w:val="18"/>
              </w:rPr>
            </w:pPr>
            <w:r>
              <w:rPr>
                <w:b/>
                <w:sz w:val="18"/>
              </w:rPr>
              <w:t>¿Qué es un Plan de Intervención de Seguridad Inmediata?</w:t>
            </w:r>
            <w:r>
              <w:rPr>
                <w:sz w:val="18"/>
              </w:rPr>
              <w:t xml:space="preserve">  </w:t>
            </w:r>
            <w:r>
              <w:rPr>
                <w:color w:val="333333"/>
                <w:sz w:val="18"/>
              </w:rPr>
              <w:t xml:space="preserve">Un Plan de Intervención de Seguridad Inmediata es un acuerdo voluntario por tiempo limitado entre la División Infantil, el padre/madre/tutor legal del niño y cualquier otro tercero para proteger a un niño de una o más amenazas inmediatas identificadas para la seguridad, la salud y el bienestar del niño a corto plazo.  </w:t>
            </w:r>
            <w:r>
              <w:rPr>
                <w:sz w:val="18"/>
              </w:rPr>
              <w:t>El Plan de Intervención de Seguridad Inmediata no es una orden de custodia o visita.  Solo un juez tiene la facultad de dictar tales órdenes.  El propósito del Plan de Intervención de Seguridad Inmediata es establecer y documentar por escrito un plan para mantener a un niño seguro con el objetivo de prevenir o eliminar la necesidad de que el niño sea sacado involuntariamente del hogar de niño o puesto bajo la autoridad del tribunal de menores o de familia de conformidad con el capítulo 211 RSMo.</w:t>
            </w:r>
          </w:p>
          <w:p w:rsidR="00085460" w:rsidRPr="00C95FB6" w:rsidRDefault="00085460" w:rsidP="00085460">
            <w:pPr>
              <w:jc w:val="both"/>
              <w:rPr>
                <w:rFonts w:cs="Arial"/>
                <w:sz w:val="8"/>
                <w:szCs w:val="16"/>
              </w:rPr>
            </w:pPr>
          </w:p>
          <w:p w:rsidR="00085460" w:rsidRPr="00C95FB6" w:rsidRDefault="00085460" w:rsidP="00085460">
            <w:pPr>
              <w:jc w:val="both"/>
              <w:rPr>
                <w:rFonts w:cs="Arial"/>
                <w:sz w:val="18"/>
              </w:rPr>
            </w:pPr>
            <w:r>
              <w:rPr>
                <w:b/>
                <w:sz w:val="18"/>
              </w:rPr>
              <w:t>¿Cuáles son los objetivos de un Plan de Intervención de Seguridad Inmediata?</w:t>
            </w:r>
          </w:p>
          <w:p w:rsidR="00085460" w:rsidRPr="00C95FB6" w:rsidRDefault="00085460" w:rsidP="00085460">
            <w:pPr>
              <w:ind w:left="360" w:hanging="360"/>
              <w:jc w:val="both"/>
              <w:rPr>
                <w:rFonts w:cs="Arial"/>
                <w:sz w:val="16"/>
              </w:rPr>
            </w:pPr>
            <w:r>
              <w:rPr>
                <w:sz w:val="18"/>
              </w:rPr>
              <w:t>a.</w:t>
            </w:r>
            <w:r>
              <w:rPr>
                <w:sz w:val="18"/>
              </w:rPr>
              <w:tab/>
              <w:t>Proteger a los niños vulnerables de las amenazas identificadas de peligros.</w:t>
            </w:r>
          </w:p>
          <w:p w:rsidR="00085460" w:rsidRPr="00C95FB6" w:rsidRDefault="00085460" w:rsidP="00085460">
            <w:pPr>
              <w:ind w:left="360" w:hanging="360"/>
              <w:jc w:val="both"/>
              <w:rPr>
                <w:rFonts w:cs="Arial"/>
                <w:sz w:val="18"/>
              </w:rPr>
            </w:pPr>
            <w:r>
              <w:rPr>
                <w:sz w:val="18"/>
              </w:rPr>
              <w:t>b.</w:t>
            </w:r>
            <w:r>
              <w:rPr>
                <w:sz w:val="18"/>
              </w:rPr>
              <w:tab/>
              <w:t>Hacer esfuerzos razonables para resolver los problemas que la familia y la División Infantil han identificado que ponen al niño en riesgo de ser sacado del hogar.</w:t>
            </w:r>
          </w:p>
          <w:p w:rsidR="00085460" w:rsidRPr="00C95FB6" w:rsidRDefault="00085460" w:rsidP="00085460">
            <w:pPr>
              <w:tabs>
                <w:tab w:val="left" w:pos="900"/>
              </w:tabs>
              <w:ind w:left="900" w:hanging="360"/>
              <w:jc w:val="both"/>
              <w:rPr>
                <w:rFonts w:cs="Arial"/>
                <w:sz w:val="12"/>
                <w:szCs w:val="16"/>
              </w:rPr>
            </w:pPr>
            <w:r>
              <w:rPr>
                <w:sz w:val="18"/>
              </w:rPr>
              <w:tab/>
              <w:t xml:space="preserve">  </w:t>
            </w:r>
          </w:p>
          <w:p w:rsidR="00085460" w:rsidRPr="00C95FB6" w:rsidRDefault="00085460" w:rsidP="00085460">
            <w:pPr>
              <w:jc w:val="both"/>
              <w:rPr>
                <w:rFonts w:cs="Arial"/>
                <w:sz w:val="18"/>
              </w:rPr>
            </w:pPr>
            <w:r>
              <w:rPr>
                <w:b/>
                <w:sz w:val="18"/>
              </w:rPr>
              <w:t>¿Qué pasa si ya existe una orden de custodia/visita del tribunal y estoy de acuerdo con un Plan de Intervención de Seguridad Inmediata, pero el otro padre/madre no está de acuerdo con él? ¿Estoy obligado a obedecer el Plan de Intervención de Seguridad Inmediata o estoy obligado a obedecer la orden del tribunal?</w:t>
            </w:r>
          </w:p>
          <w:p w:rsidR="00085460" w:rsidRPr="00C95FB6" w:rsidRDefault="00085460" w:rsidP="00085460">
            <w:pPr>
              <w:tabs>
                <w:tab w:val="left" w:pos="540"/>
              </w:tabs>
              <w:jc w:val="both"/>
              <w:rPr>
                <w:rFonts w:cs="Arial"/>
                <w:sz w:val="18"/>
              </w:rPr>
            </w:pPr>
            <w:r>
              <w:rPr>
                <w:sz w:val="18"/>
              </w:rPr>
              <w:t>El Plan de Intervención de Seguridad Inmediata no puede anular una orden judicial. Sin embargo, un padre/madre puede decidir modificar su régimen de custodia o visita para adaptarse a las necesidades de seguridad de un niño, siempre y cuando entienda que todas las órdenes judiciales permanecen en vigencia hasta que un juez las modifique o dé por terminadas.  Una persona que desee poner fin a su participación en el plan debe notificarlo a la División y a las demás partes involucradas en el plan.</w:t>
            </w:r>
          </w:p>
          <w:p w:rsidR="00085460" w:rsidRPr="00C95FB6" w:rsidRDefault="00085460" w:rsidP="00085460">
            <w:pPr>
              <w:tabs>
                <w:tab w:val="left" w:pos="540"/>
              </w:tabs>
              <w:ind w:left="900" w:hanging="900"/>
              <w:jc w:val="both"/>
              <w:rPr>
                <w:rFonts w:cs="Arial"/>
                <w:sz w:val="10"/>
                <w:szCs w:val="16"/>
              </w:rPr>
            </w:pPr>
          </w:p>
          <w:p w:rsidR="00085460" w:rsidRPr="00C95FB6" w:rsidRDefault="00085460" w:rsidP="00085460">
            <w:pPr>
              <w:tabs>
                <w:tab w:val="left" w:pos="360"/>
              </w:tabs>
              <w:ind w:left="540" w:hanging="540"/>
              <w:jc w:val="both"/>
              <w:rPr>
                <w:rFonts w:cs="Arial"/>
                <w:sz w:val="18"/>
              </w:rPr>
            </w:pPr>
            <w:r>
              <w:rPr>
                <w:b/>
                <w:sz w:val="18"/>
              </w:rPr>
              <w:t>¿Qué sucede si creo que obedecer la orden de custodia o visita puede poner en riesgo la seguridad de mi hijo?</w:t>
            </w:r>
          </w:p>
          <w:p w:rsidR="00085460" w:rsidRPr="00C95FB6" w:rsidRDefault="00085460" w:rsidP="00085460">
            <w:pPr>
              <w:jc w:val="both"/>
              <w:rPr>
                <w:rFonts w:cs="Arial"/>
                <w:sz w:val="18"/>
              </w:rPr>
            </w:pPr>
            <w:r>
              <w:rPr>
                <w:sz w:val="18"/>
              </w:rPr>
              <w:t>Si cree que obedecer la orden de custodia o visita pondrá en riesgo la seguridad o la salud de su hijo o si cree que su hijo puede haber sido víctima de un delito, debe llamar a las fuerzas del orden público o buscar atención médica para el niño.  También debe informar sobre sus creencias a su abogado y buscar asesoramiento legal sobre qué otras medidas deben tomarse, y el trabajador de la División Infantil que participe en la planificación de la seguridad de su hijo debe ser notificado inmediatamente.</w:t>
            </w:r>
          </w:p>
          <w:p w:rsidR="00085460" w:rsidRPr="00C95FB6" w:rsidRDefault="00085460" w:rsidP="00085460">
            <w:pPr>
              <w:jc w:val="both"/>
              <w:rPr>
                <w:rFonts w:cs="Arial"/>
                <w:sz w:val="10"/>
                <w:szCs w:val="16"/>
              </w:rPr>
            </w:pPr>
          </w:p>
          <w:p w:rsidR="00085460" w:rsidRPr="00C95FB6" w:rsidRDefault="00085460" w:rsidP="00085460">
            <w:pPr>
              <w:ind w:left="540" w:hanging="540"/>
              <w:jc w:val="both"/>
              <w:rPr>
                <w:rFonts w:cs="Arial"/>
                <w:sz w:val="18"/>
              </w:rPr>
            </w:pPr>
            <w:r>
              <w:rPr>
                <w:b/>
                <w:sz w:val="18"/>
              </w:rPr>
              <w:t>¿Qué pasa si cambio de opinión después de aceptar un Plan de Intervención de Seguridad Inmediata?</w:t>
            </w:r>
            <w:r>
              <w:rPr>
                <w:sz w:val="18"/>
              </w:rPr>
              <w:t xml:space="preserve"> </w:t>
            </w:r>
          </w:p>
          <w:p w:rsidR="00085460" w:rsidRDefault="00085460" w:rsidP="00085460">
            <w:pPr>
              <w:jc w:val="both"/>
              <w:rPr>
                <w:i/>
                <w:sz w:val="18"/>
              </w:rPr>
            </w:pPr>
            <w:r>
              <w:rPr>
                <w:sz w:val="18"/>
              </w:rPr>
              <w:t xml:space="preserve">La División Infantil no tiene poder para hacer cumplir un Plan de Intervención de Seguridad Inmediata ni castigar a alguien por infringir el plan.  Si desea retirarse del Plan de Intervención de Seguridad Inmediata, puede hacerlo en cualquier momento; sin embargo, antes de finalizar el Plan de Intervención de Seguridad inmediata, debe ponerse en contacto con el trabajador de la División Infantil que participe en la planificación de seguridad de su hijo para proporcionarle un aviso razonable.   </w:t>
            </w:r>
            <w:r>
              <w:rPr>
                <w:i/>
                <w:sz w:val="18"/>
              </w:rPr>
              <w:t>Si no se sigue el Plan y la División tiene motivos para creer que el incumplimiento de un Plan de Intervención de Seguridad Inmediata</w:t>
            </w:r>
            <w:r>
              <w:rPr>
                <w:sz w:val="18"/>
              </w:rPr>
              <w:t xml:space="preserve"> </w:t>
            </w:r>
            <w:r>
              <w:rPr>
                <w:i/>
                <w:sz w:val="18"/>
              </w:rPr>
              <w:t>puede poner en riesgo la seguridad del niño, la División puede remitir al oficial de menores, al Tribunal de Menores o a las fuerzas del orden público para que tomen medidas adicionales.</w:t>
            </w:r>
          </w:p>
          <w:p w:rsidR="00955E9B" w:rsidRPr="00C95FB6" w:rsidRDefault="00955E9B" w:rsidP="00085460">
            <w:pPr>
              <w:jc w:val="both"/>
              <w:rPr>
                <w:rFonts w:cs="Arial"/>
                <w:i/>
                <w:sz w:val="18"/>
              </w:rPr>
            </w:pPr>
          </w:p>
          <w:p w:rsidR="00085460" w:rsidRDefault="00085460" w:rsidP="00085460">
            <w:pPr>
              <w:jc w:val="both"/>
              <w:rPr>
                <w:rFonts w:cs="Arial"/>
                <w:sz w:val="8"/>
                <w:szCs w:val="16"/>
              </w:rPr>
            </w:pPr>
          </w:p>
          <w:p w:rsidR="00955E9B" w:rsidRPr="00C95FB6" w:rsidRDefault="00955E9B" w:rsidP="00085460">
            <w:pPr>
              <w:jc w:val="both"/>
              <w:rPr>
                <w:rFonts w:cs="Arial"/>
                <w:sz w:val="8"/>
                <w:szCs w:val="16"/>
              </w:rPr>
            </w:pPr>
          </w:p>
          <w:p w:rsidR="00085460" w:rsidRPr="00C95FB6" w:rsidRDefault="00085460" w:rsidP="00085460">
            <w:pPr>
              <w:jc w:val="both"/>
              <w:rPr>
                <w:rFonts w:cs="Arial"/>
                <w:b/>
                <w:sz w:val="12"/>
                <w:szCs w:val="16"/>
              </w:rPr>
            </w:pPr>
            <w:r>
              <w:rPr>
                <w:b/>
                <w:sz w:val="18"/>
              </w:rPr>
              <w:lastRenderedPageBreak/>
              <w:t>¿Puede la División cambiar o poner fin al Plan de Intervención de Seguridad Inmediata?</w:t>
            </w:r>
          </w:p>
          <w:p w:rsidR="00085460" w:rsidRDefault="00085460" w:rsidP="00085460">
            <w:pPr>
              <w:tabs>
                <w:tab w:val="left" w:pos="0"/>
              </w:tabs>
              <w:jc w:val="both"/>
              <w:rPr>
                <w:rFonts w:cs="Arial"/>
                <w:sz w:val="18"/>
              </w:rPr>
            </w:pPr>
            <w:r>
              <w:rPr>
                <w:sz w:val="18"/>
              </w:rPr>
              <w:t>La División Infantil puede cancelar o modificar el plan en cualquier momento.  Esto puede incluir la terminación de cualquier servicio prestado por la División o puede implicar modificaciones en el plan para hacer frente a la amenaza de peligro de manera más eficaz.  La División notificará este cambio a todos los participantes.  La División Infantil puede tomar cualquier medida en cualquier momento y sin previo aviso o consulta que la División considere apropiada, a su entera discreción, para proteger la seguridad, el interés superior y el bienestar de cualquier niño cubierto por un Plan de Intervención de Seguridad Inmediata.  Esto incluye, entre otros:</w:t>
            </w:r>
          </w:p>
          <w:p w:rsidR="00085460" w:rsidRDefault="00085460" w:rsidP="00085460">
            <w:pPr>
              <w:pStyle w:val="ListParagraph"/>
              <w:numPr>
                <w:ilvl w:val="0"/>
                <w:numId w:val="8"/>
              </w:numPr>
              <w:tabs>
                <w:tab w:val="left" w:pos="0"/>
              </w:tabs>
              <w:jc w:val="both"/>
              <w:rPr>
                <w:rFonts w:cs="Arial"/>
                <w:sz w:val="18"/>
              </w:rPr>
            </w:pPr>
            <w:r>
              <w:rPr>
                <w:sz w:val="18"/>
              </w:rPr>
              <w:t>hacer remisiones, con o sin recomendaciones para la adopción de medidas adicionales, a la Oficina de Menores;</w:t>
            </w:r>
          </w:p>
          <w:p w:rsidR="00085460" w:rsidRDefault="00085460" w:rsidP="00085460">
            <w:pPr>
              <w:pStyle w:val="ListParagraph"/>
              <w:numPr>
                <w:ilvl w:val="0"/>
                <w:numId w:val="8"/>
              </w:numPr>
              <w:tabs>
                <w:tab w:val="left" w:pos="0"/>
              </w:tabs>
              <w:jc w:val="both"/>
              <w:rPr>
                <w:rFonts w:cs="Arial"/>
                <w:sz w:val="18"/>
              </w:rPr>
            </w:pPr>
            <w:r>
              <w:rPr>
                <w:sz w:val="18"/>
              </w:rPr>
              <w:t>realizar remisiones a las fuerzas del orden público;</w:t>
            </w:r>
          </w:p>
          <w:p w:rsidR="00085460" w:rsidRDefault="00085460" w:rsidP="00085460">
            <w:pPr>
              <w:pStyle w:val="ListParagraph"/>
              <w:numPr>
                <w:ilvl w:val="0"/>
                <w:numId w:val="8"/>
              </w:numPr>
              <w:tabs>
                <w:tab w:val="left" w:pos="0"/>
              </w:tabs>
              <w:jc w:val="both"/>
              <w:rPr>
                <w:rFonts w:cs="Arial"/>
                <w:sz w:val="18"/>
              </w:rPr>
            </w:pPr>
            <w:r>
              <w:rPr>
                <w:sz w:val="18"/>
              </w:rPr>
              <w:t>investigar denuncias de maltrato o negligencia infantil y realizar evaluaciones familiares;</w:t>
            </w:r>
          </w:p>
          <w:p w:rsidR="00085460" w:rsidRDefault="00085460" w:rsidP="00085460">
            <w:pPr>
              <w:pStyle w:val="ListParagraph"/>
              <w:numPr>
                <w:ilvl w:val="0"/>
                <w:numId w:val="8"/>
              </w:numPr>
              <w:tabs>
                <w:tab w:val="left" w:pos="0"/>
              </w:tabs>
              <w:jc w:val="both"/>
              <w:rPr>
                <w:rFonts w:cs="Arial"/>
                <w:sz w:val="18"/>
              </w:rPr>
            </w:pPr>
            <w:r>
              <w:rPr>
                <w:sz w:val="18"/>
              </w:rPr>
              <w:t xml:space="preserve">compartir una copia del Plan de Intervención de Seguridad Inmediata y otra información relevante con el oficial de menores, las fuerzas del orden público, los proveedores de atención médica, los tutores </w:t>
            </w:r>
            <w:r>
              <w:rPr>
                <w:i/>
                <w:iCs/>
                <w:sz w:val="18"/>
              </w:rPr>
              <w:t>ad litem</w:t>
            </w:r>
            <w:r>
              <w:rPr>
                <w:sz w:val="18"/>
              </w:rPr>
              <w:t xml:space="preserve"> del niño, las escuelas y el personal escolar, y cualquier otra persona que la División determine que necesite disponer de la información para el cuidado, la seguridad y el interés superior del niño;</w:t>
            </w:r>
          </w:p>
          <w:p w:rsidR="00085460" w:rsidRPr="005011D4" w:rsidRDefault="00085460" w:rsidP="00085460">
            <w:pPr>
              <w:pStyle w:val="ListParagraph"/>
              <w:numPr>
                <w:ilvl w:val="0"/>
                <w:numId w:val="8"/>
              </w:numPr>
              <w:tabs>
                <w:tab w:val="left" w:pos="0"/>
              </w:tabs>
              <w:jc w:val="both"/>
              <w:rPr>
                <w:rFonts w:cs="Arial"/>
                <w:sz w:val="18"/>
              </w:rPr>
            </w:pPr>
            <w:r>
              <w:rPr>
                <w:sz w:val="18"/>
              </w:rPr>
              <w:t>negociar un nuevo Plan de Intervención de Seguridad Inmediata o Acuerdo de Colocación Alternativa Temporal (Temporary Alternative Placement Agreement, TAPA) de conformidad con el artículo 210.123, RSMo.</w:t>
            </w:r>
          </w:p>
          <w:p w:rsidR="00085460" w:rsidRPr="00C95FB6" w:rsidRDefault="00085460" w:rsidP="00085460">
            <w:pPr>
              <w:jc w:val="both"/>
              <w:rPr>
                <w:rFonts w:cs="Arial"/>
                <w:sz w:val="8"/>
                <w:szCs w:val="16"/>
              </w:rPr>
            </w:pPr>
          </w:p>
          <w:p w:rsidR="00085460" w:rsidRDefault="00085460" w:rsidP="00085460">
            <w:pPr>
              <w:jc w:val="both"/>
              <w:rPr>
                <w:rFonts w:cs="Arial"/>
                <w:b/>
                <w:sz w:val="18"/>
              </w:rPr>
            </w:pPr>
            <w:r>
              <w:rPr>
                <w:b/>
                <w:sz w:val="18"/>
              </w:rPr>
              <w:t>¿Cuándo finalizará el Plan de Intervención de Seguridad Inmediata?</w:t>
            </w:r>
          </w:p>
          <w:p w:rsidR="00085460" w:rsidRDefault="00085460" w:rsidP="00085460">
            <w:pPr>
              <w:jc w:val="both"/>
              <w:rPr>
                <w:rFonts w:cs="Arial"/>
                <w:sz w:val="18"/>
              </w:rPr>
            </w:pPr>
            <w:r>
              <w:rPr>
                <w:sz w:val="18"/>
              </w:rPr>
              <w:t>El Plan de Intervención de Seguridad Inmediata finalizará en las siguientes circunstancias:</w:t>
            </w:r>
          </w:p>
          <w:p w:rsidR="00085460" w:rsidRDefault="00085460" w:rsidP="00085460">
            <w:pPr>
              <w:pStyle w:val="ListParagraph"/>
              <w:numPr>
                <w:ilvl w:val="0"/>
                <w:numId w:val="9"/>
              </w:numPr>
              <w:jc w:val="both"/>
              <w:rPr>
                <w:rFonts w:cs="Arial"/>
                <w:sz w:val="18"/>
              </w:rPr>
            </w:pPr>
            <w:r>
              <w:rPr>
                <w:sz w:val="18"/>
              </w:rPr>
              <w:t>El Plan de Intervención de Seguridad Inmediata finalizará automáticamente sin previo aviso diez (10) días después de la fecha en que la última parte firme el acuerdo.  El Plan de Intervención de Seguridad Inmediata puede prorrogarse durante no más de diez (10) días seguidos.  Cada prórroga debe hacerse por escrito y estar firmada por todas las partes.  La prórroga debe especificar la fecha en la que finalizará el plan.  Cualquier Plan de Intervención de Seguridad Inmediata en el que se coloque al niño fuera del hogar con un familiar no debe prorrogarse y debe convertirse en un Acuerdo de Colocación Alternativa Temporal (TAPA).</w:t>
            </w:r>
          </w:p>
          <w:p w:rsidR="00085460" w:rsidRDefault="00085460" w:rsidP="00085460">
            <w:pPr>
              <w:pStyle w:val="ListParagraph"/>
              <w:numPr>
                <w:ilvl w:val="0"/>
                <w:numId w:val="9"/>
              </w:numPr>
              <w:jc w:val="both"/>
              <w:rPr>
                <w:rFonts w:cs="Arial"/>
                <w:sz w:val="18"/>
              </w:rPr>
            </w:pPr>
            <w:r>
              <w:rPr>
                <w:sz w:val="18"/>
              </w:rPr>
              <w:t>El Plan de Intervención de Seguridad Inmediata es voluntario.  Cualquiera de las partes podrá poner fin al Plan de Intervención de Seguridad Inmediata en cualquier momento con un aviso razonable.  Cualquier parte que desee poner fin a su participación en el Plan de Intervención de Seguridad Inmediata deberá notificarlo a la División Infantil, preferiblemente por escrito.</w:t>
            </w:r>
          </w:p>
          <w:p w:rsidR="00085460" w:rsidRDefault="00085460" w:rsidP="00085460">
            <w:pPr>
              <w:pStyle w:val="ListParagraph"/>
              <w:numPr>
                <w:ilvl w:val="0"/>
                <w:numId w:val="9"/>
              </w:numPr>
              <w:jc w:val="both"/>
              <w:rPr>
                <w:rFonts w:cs="Arial"/>
                <w:sz w:val="18"/>
              </w:rPr>
            </w:pPr>
            <w:r>
              <w:rPr>
                <w:sz w:val="18"/>
              </w:rPr>
              <w:t>Un Plan de Intervención de Seguridad Inmediata finalizará cuando el niño sea puesto bajo la jurisdicción de un tribunal de menores o de familia de conformidad con la ley, o cuando se dicte una orden de un tribunal de jurisdicción competente.</w:t>
            </w:r>
          </w:p>
          <w:p w:rsidR="00085460" w:rsidRPr="005011D4" w:rsidRDefault="00085460" w:rsidP="00085460">
            <w:pPr>
              <w:pStyle w:val="ListParagraph"/>
              <w:numPr>
                <w:ilvl w:val="0"/>
                <w:numId w:val="9"/>
              </w:numPr>
              <w:jc w:val="both"/>
              <w:rPr>
                <w:rFonts w:cs="Arial"/>
                <w:sz w:val="18"/>
              </w:rPr>
            </w:pPr>
            <w:r>
              <w:rPr>
                <w:sz w:val="18"/>
              </w:rPr>
              <w:t>La División Infantil no puede poner fin a su relación con la familia si existe un Plan de Intervención de Seguridad Inmediata.</w:t>
            </w:r>
          </w:p>
          <w:p w:rsidR="00085460" w:rsidRDefault="00085460" w:rsidP="00085460">
            <w:pPr>
              <w:jc w:val="both"/>
              <w:rPr>
                <w:rFonts w:cs="Arial"/>
                <w:b/>
                <w:sz w:val="18"/>
              </w:rPr>
            </w:pPr>
          </w:p>
          <w:p w:rsidR="00085460" w:rsidRPr="00C95FB6" w:rsidRDefault="00085460" w:rsidP="00085460">
            <w:pPr>
              <w:jc w:val="both"/>
              <w:rPr>
                <w:rFonts w:cs="Arial"/>
                <w:sz w:val="18"/>
              </w:rPr>
            </w:pPr>
            <w:r>
              <w:rPr>
                <w:b/>
                <w:sz w:val="18"/>
              </w:rPr>
              <w:t>¿Qué pasa si he aceptado un Plan de Intervención de Seguridad Inmediata, pero el otro padre/madre no ha aceptado el plan o ha infringido los términos del plan?</w:t>
            </w:r>
          </w:p>
          <w:p w:rsidR="00085460" w:rsidRPr="00C95FB6" w:rsidRDefault="00085460" w:rsidP="00085460">
            <w:pPr>
              <w:jc w:val="both"/>
              <w:rPr>
                <w:rFonts w:cs="Arial"/>
                <w:i/>
                <w:sz w:val="18"/>
              </w:rPr>
            </w:pPr>
            <w:r>
              <w:rPr>
                <w:sz w:val="18"/>
              </w:rPr>
              <w:t>Un Plan de Intervención de Seguridad Inmediata es voluntario.  La División no tiene poder para exigir al otro padre/madre que acepte seguir un Plan de Intervención de Seguridad Inmediata y no tiene poder para castigar al otro padre/madre por infringir los términos del plan.</w:t>
            </w:r>
            <w:r>
              <w:rPr>
                <w:i/>
                <w:sz w:val="18"/>
              </w:rPr>
              <w:t xml:space="preserve">  </w:t>
            </w:r>
            <w:r>
              <w:rPr>
                <w:sz w:val="18"/>
              </w:rPr>
              <w:t>Si la División tiene motivos para creer que el incumplimiento de un Plan de Intervención de Seguridad Inmediata puede poner en riesgo la seguridad, la salud o el bienestar del niño, la División puede remitir al oficial de menores, al Tribunal de Menores o a las fuerzas del orden público para que tomen medidas adicionales.</w:t>
            </w:r>
          </w:p>
          <w:p w:rsidR="00085460" w:rsidRPr="00C95FB6" w:rsidRDefault="00085460" w:rsidP="00085460">
            <w:pPr>
              <w:jc w:val="both"/>
              <w:rPr>
                <w:rFonts w:cs="Arial"/>
                <w:sz w:val="8"/>
                <w:szCs w:val="16"/>
              </w:rPr>
            </w:pPr>
          </w:p>
          <w:p w:rsidR="00085460" w:rsidRPr="00C95FB6" w:rsidRDefault="00085460" w:rsidP="00085460">
            <w:pPr>
              <w:jc w:val="both"/>
              <w:rPr>
                <w:rFonts w:cs="Arial"/>
                <w:sz w:val="18"/>
              </w:rPr>
            </w:pPr>
            <w:r>
              <w:rPr>
                <w:b/>
                <w:sz w:val="18"/>
              </w:rPr>
              <w:t xml:space="preserve">¿Debo obtener una orden de protección (a veces conocida como “orden </w:t>
            </w:r>
            <w:r>
              <w:rPr>
                <w:b/>
                <w:i/>
                <w:iCs/>
                <w:sz w:val="18"/>
              </w:rPr>
              <w:t>ex parte</w:t>
            </w:r>
            <w:r>
              <w:rPr>
                <w:b/>
                <w:sz w:val="18"/>
              </w:rPr>
              <w:t>” u “orden de restricción”) contra el otro padre/madre?</w:t>
            </w:r>
          </w:p>
          <w:p w:rsidR="00085460" w:rsidRPr="00C95FB6" w:rsidRDefault="00085460" w:rsidP="00085460">
            <w:pPr>
              <w:jc w:val="both"/>
              <w:rPr>
                <w:rFonts w:cs="Arial"/>
                <w:sz w:val="18"/>
              </w:rPr>
            </w:pPr>
            <w:r>
              <w:rPr>
                <w:sz w:val="18"/>
              </w:rPr>
              <w:t>Los empleados de la División Infantil no son abogados y no pueden asesorarlo legalmente.  Esa es una pregunta sobre la que tendrá que hablar con su abogado.</w:t>
            </w:r>
          </w:p>
          <w:p w:rsidR="00085460" w:rsidRPr="00C95FB6" w:rsidRDefault="00085460" w:rsidP="00085460">
            <w:pPr>
              <w:jc w:val="both"/>
              <w:rPr>
                <w:rFonts w:cs="Arial"/>
                <w:sz w:val="8"/>
                <w:szCs w:val="16"/>
              </w:rPr>
            </w:pPr>
          </w:p>
          <w:p w:rsidR="00085460" w:rsidRPr="00C95FB6" w:rsidRDefault="00085460" w:rsidP="00085460">
            <w:pPr>
              <w:ind w:left="540" w:hanging="540"/>
              <w:jc w:val="both"/>
              <w:rPr>
                <w:rFonts w:cs="Arial"/>
                <w:sz w:val="18"/>
              </w:rPr>
            </w:pPr>
            <w:r>
              <w:rPr>
                <w:b/>
                <w:sz w:val="18"/>
              </w:rPr>
              <w:t xml:space="preserve">¿Qué es una orden de protección, “orden </w:t>
            </w:r>
            <w:r>
              <w:rPr>
                <w:b/>
                <w:i/>
                <w:iCs/>
                <w:sz w:val="18"/>
              </w:rPr>
              <w:t>ex parte</w:t>
            </w:r>
            <w:r>
              <w:rPr>
                <w:b/>
                <w:sz w:val="18"/>
              </w:rPr>
              <w:t>” u “orden de restricción”?</w:t>
            </w:r>
          </w:p>
          <w:p w:rsidR="00085460" w:rsidRPr="00C95FB6" w:rsidRDefault="00085460" w:rsidP="00085460">
            <w:pPr>
              <w:jc w:val="both"/>
              <w:rPr>
                <w:rFonts w:cs="Arial"/>
                <w:sz w:val="18"/>
              </w:rPr>
            </w:pPr>
            <w:r>
              <w:rPr>
                <w:sz w:val="18"/>
              </w:rPr>
              <w:t>Estas son órdenes de emergencia que el tribunal puede dictar para mantener alejado a alguien que está abusando de otra persona hasta que el tribunal pueda celebrar una audiencia para decidir qué hacer. Pueden introducirse órdenes para proteger tanto a adultos como a niños.  Estos pedidos solo se introducen durante un período limitado.  Puede solicitar una orden de protección en el Juzgado.  De nuevo, si le preocupa su seguridad o la de su hijo, debe obtener asesoramiento de un abogado sobre si una orden de protección es adecuada para usted.</w:t>
            </w:r>
          </w:p>
          <w:p w:rsidR="00085460" w:rsidRPr="00C95FB6" w:rsidRDefault="00085460" w:rsidP="00085460">
            <w:pPr>
              <w:ind w:left="900" w:hanging="360"/>
              <w:jc w:val="both"/>
              <w:rPr>
                <w:rFonts w:cs="Arial"/>
                <w:sz w:val="8"/>
                <w:szCs w:val="16"/>
              </w:rPr>
            </w:pPr>
          </w:p>
          <w:p w:rsidR="00085460" w:rsidRPr="00C95FB6" w:rsidRDefault="00085460" w:rsidP="00085460">
            <w:pPr>
              <w:jc w:val="both"/>
              <w:rPr>
                <w:rFonts w:cs="Arial"/>
                <w:sz w:val="12"/>
                <w:szCs w:val="16"/>
              </w:rPr>
            </w:pPr>
            <w:r>
              <w:rPr>
                <w:b/>
                <w:sz w:val="18"/>
              </w:rPr>
              <w:t>¿Debo involucrar a un abogado?</w:t>
            </w:r>
          </w:p>
          <w:p w:rsidR="00085460" w:rsidRPr="00C95FB6" w:rsidRDefault="00085460" w:rsidP="00085460">
            <w:pPr>
              <w:tabs>
                <w:tab w:val="left" w:pos="0"/>
              </w:tabs>
              <w:jc w:val="both"/>
              <w:rPr>
                <w:rFonts w:cs="Arial"/>
                <w:sz w:val="18"/>
              </w:rPr>
            </w:pPr>
            <w:r>
              <w:rPr>
                <w:sz w:val="18"/>
              </w:rPr>
              <w:t>Tiene derecho a consultar con un abogado antes de aceptar este plan.  Los empleados de la División Infantil no son abogados y no dan asesoramiento legal.</w:t>
            </w:r>
          </w:p>
          <w:p w:rsidR="00085460" w:rsidRPr="00C95FB6" w:rsidRDefault="00085460" w:rsidP="00085460">
            <w:pPr>
              <w:ind w:left="900"/>
              <w:jc w:val="both"/>
              <w:rPr>
                <w:rFonts w:cs="Arial"/>
                <w:sz w:val="8"/>
                <w:szCs w:val="16"/>
              </w:rPr>
            </w:pPr>
          </w:p>
          <w:p w:rsidR="00085460" w:rsidRPr="00C95FB6" w:rsidRDefault="00085460" w:rsidP="00085460">
            <w:pPr>
              <w:ind w:left="540" w:hanging="540"/>
              <w:jc w:val="both"/>
              <w:rPr>
                <w:rFonts w:cs="Arial"/>
                <w:sz w:val="18"/>
              </w:rPr>
            </w:pPr>
            <w:r>
              <w:rPr>
                <w:b/>
                <w:sz w:val="18"/>
              </w:rPr>
              <w:t>¿Qué pasa si no puedo pagar un abogado o no tengo un abogado?</w:t>
            </w:r>
          </w:p>
          <w:p w:rsidR="00085460" w:rsidRDefault="00085460" w:rsidP="00085460">
            <w:pPr>
              <w:rPr>
                <w:rFonts w:ascii="Estrangelo Edessa" w:hAnsi="Estrangelo Edessa"/>
              </w:rPr>
            </w:pPr>
            <w:r>
              <w:rPr>
                <w:sz w:val="18"/>
              </w:rPr>
              <w:t xml:space="preserve">Puede visitar el Colegio de Abogados de Misuri en </w:t>
            </w:r>
            <w:hyperlink r:id="rId9" w:history="1">
              <w:r>
                <w:rPr>
                  <w:rStyle w:val="Hyperlink"/>
                  <w:sz w:val="18"/>
                </w:rPr>
                <w:t>http://missourilawyershelp.org/find-lawyer/</w:t>
              </w:r>
            </w:hyperlink>
            <w:r>
              <w:rPr>
                <w:sz w:val="18"/>
              </w:rPr>
              <w:t xml:space="preserve"> para encontrar un abogado en su área.  También puede llamar a la oficina de Asistencia Jurídica que atiende en su área para ver si califica para recibir asesoramiento o servicios legales gratuitos.  Se puede acceder a la información de contacto de su oficina local a través de Internet en </w:t>
            </w:r>
            <w:hyperlink r:id="rId10" w:history="1">
              <w:r>
                <w:rPr>
                  <w:rStyle w:val="Hyperlink"/>
                  <w:sz w:val="18"/>
                </w:rPr>
                <w:t>https://www.lsmo.org/node/747/our-offices</w:t>
              </w:r>
            </w:hyperlink>
            <w:r>
              <w:rPr>
                <w:sz w:val="18"/>
              </w:rPr>
              <w:t>.</w:t>
            </w:r>
          </w:p>
          <w:p w:rsidR="008A3ED7" w:rsidRPr="004F7025" w:rsidRDefault="008A3ED7" w:rsidP="00085460">
            <w:pPr>
              <w:rPr>
                <w:rFonts w:cs="Arial"/>
                <w:b/>
                <w:noProof/>
                <w:sz w:val="18"/>
                <w:szCs w:val="18"/>
              </w:rPr>
            </w:pPr>
          </w:p>
        </w:tc>
      </w:tr>
    </w:tbl>
    <w:p w:rsidR="00E14F59" w:rsidRPr="00535AC1" w:rsidRDefault="00E14F59" w:rsidP="00146B30">
      <w:pPr>
        <w:rPr>
          <w:sz w:val="18"/>
          <w:szCs w:val="16"/>
        </w:rPr>
      </w:pPr>
    </w:p>
    <w:sectPr w:rsidR="00E14F59" w:rsidRPr="00535AC1" w:rsidSect="00C92F2D">
      <w:footerReference w:type="default" r:id="rId11"/>
      <w:pgSz w:w="12240" w:h="15840" w:code="1"/>
      <w:pgMar w:top="630" w:right="720" w:bottom="720" w:left="36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820" w:rsidRDefault="000E3820">
      <w:r>
        <w:separator/>
      </w:r>
    </w:p>
  </w:endnote>
  <w:endnote w:type="continuationSeparator" w:id="0">
    <w:p w:rsidR="000E3820" w:rsidRDefault="000E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strangelo Edessa">
    <w:panose1 w:val="00000000000000000000"/>
    <w:charset w:val="00"/>
    <w:family w:val="script"/>
    <w:pitch w:val="variable"/>
    <w:sig w:usb0="80002003" w:usb1="00000000" w:usb2="00000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BA2" w:rsidRDefault="00A20BA2" w:rsidP="0034446C">
    <w:pPr>
      <w:pStyle w:val="Footer"/>
      <w:jc w:val="right"/>
      <w:rPr>
        <w:sz w:val="12"/>
        <w:szCs w:val="12"/>
      </w:rPr>
    </w:pPr>
  </w:p>
  <w:tbl>
    <w:tblPr>
      <w:tblW w:w="0" w:type="auto"/>
      <w:tblLook w:val="01E0" w:firstRow="1" w:lastRow="1" w:firstColumn="1" w:lastColumn="1" w:noHBand="0" w:noVBand="0"/>
    </w:tblPr>
    <w:tblGrid>
      <w:gridCol w:w="1980"/>
      <w:gridCol w:w="6660"/>
      <w:gridCol w:w="2520"/>
    </w:tblGrid>
    <w:tr w:rsidR="00A20BA2" w:rsidRPr="00F360C5" w:rsidTr="00955E9B">
      <w:tc>
        <w:tcPr>
          <w:tcW w:w="1980" w:type="dxa"/>
        </w:tcPr>
        <w:p w:rsidR="00A20BA2" w:rsidRPr="00F360C5" w:rsidRDefault="00A20BA2" w:rsidP="00991C41">
          <w:pPr>
            <w:pStyle w:val="Footer"/>
            <w:rPr>
              <w:sz w:val="16"/>
              <w:szCs w:val="12"/>
            </w:rPr>
          </w:pPr>
        </w:p>
        <w:p w:rsidR="00A20BA2" w:rsidRPr="00F360C5" w:rsidRDefault="00A20BA2" w:rsidP="00594056">
          <w:pPr>
            <w:pStyle w:val="Footer"/>
            <w:rPr>
              <w:sz w:val="16"/>
              <w:szCs w:val="12"/>
            </w:rPr>
          </w:pPr>
        </w:p>
      </w:tc>
      <w:tc>
        <w:tcPr>
          <w:tcW w:w="6660" w:type="dxa"/>
        </w:tcPr>
        <w:p w:rsidR="00A20BA2" w:rsidRPr="00F360C5" w:rsidRDefault="00A20BA2" w:rsidP="00290096">
          <w:pPr>
            <w:pStyle w:val="Footer"/>
            <w:tabs>
              <w:tab w:val="clear" w:pos="4320"/>
              <w:tab w:val="center" w:pos="2786"/>
            </w:tabs>
            <w:jc w:val="center"/>
            <w:rPr>
              <w:sz w:val="16"/>
              <w:szCs w:val="12"/>
            </w:rPr>
          </w:pPr>
          <w:r>
            <w:rPr>
              <w:sz w:val="16"/>
            </w:rPr>
            <w:t>Distribución:</w:t>
          </w:r>
          <w:r>
            <w:t xml:space="preserve"> </w:t>
          </w:r>
          <w:r>
            <w:rPr>
              <w:sz w:val="16"/>
            </w:rPr>
            <w:tab/>
            <w:t>Original - Familia</w:t>
          </w:r>
          <w:r>
            <w:rPr>
              <w:sz w:val="16"/>
            </w:rPr>
            <w:tab/>
            <w:t>Copia - Expediente del caso</w:t>
          </w:r>
        </w:p>
      </w:tc>
      <w:tc>
        <w:tcPr>
          <w:tcW w:w="2520" w:type="dxa"/>
        </w:tcPr>
        <w:p w:rsidR="00A20BA2" w:rsidRPr="00F360C5" w:rsidRDefault="00A20BA2" w:rsidP="00290096">
          <w:pPr>
            <w:pStyle w:val="Footer"/>
            <w:jc w:val="right"/>
            <w:rPr>
              <w:sz w:val="16"/>
              <w:szCs w:val="12"/>
            </w:rPr>
          </w:pPr>
        </w:p>
        <w:p w:rsidR="00A20BA2" w:rsidRPr="00F360C5" w:rsidRDefault="00A20BA2" w:rsidP="006656E6">
          <w:pPr>
            <w:pStyle w:val="Footer"/>
            <w:jc w:val="right"/>
            <w:rPr>
              <w:sz w:val="16"/>
              <w:szCs w:val="12"/>
            </w:rPr>
          </w:pPr>
          <w:r>
            <w:rPr>
              <w:sz w:val="16"/>
            </w:rPr>
            <w:t>CD-263 (rev. agosto de 2021)</w:t>
          </w:r>
        </w:p>
      </w:tc>
    </w:tr>
  </w:tbl>
  <w:p w:rsidR="00A20BA2" w:rsidRPr="005A6656" w:rsidRDefault="00A20BA2" w:rsidP="0034446C">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820" w:rsidRDefault="000E3820">
      <w:r>
        <w:separator/>
      </w:r>
    </w:p>
  </w:footnote>
  <w:footnote w:type="continuationSeparator" w:id="0">
    <w:p w:rsidR="000E3820" w:rsidRDefault="000E3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24C"/>
    <w:multiLevelType w:val="hybridMultilevel"/>
    <w:tmpl w:val="C6228684"/>
    <w:lvl w:ilvl="0" w:tplc="16A4E6B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334006"/>
    <w:multiLevelType w:val="hybridMultilevel"/>
    <w:tmpl w:val="46244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43B28"/>
    <w:multiLevelType w:val="hybridMultilevel"/>
    <w:tmpl w:val="6FC0A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51D51"/>
    <w:multiLevelType w:val="hybridMultilevel"/>
    <w:tmpl w:val="C6228684"/>
    <w:lvl w:ilvl="0" w:tplc="16A4E6B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5921A3"/>
    <w:multiLevelType w:val="hybridMultilevel"/>
    <w:tmpl w:val="C6228684"/>
    <w:lvl w:ilvl="0" w:tplc="16A4E6B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9D26A4"/>
    <w:multiLevelType w:val="hybridMultilevel"/>
    <w:tmpl w:val="5CB88F8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3A046015"/>
    <w:multiLevelType w:val="hybridMultilevel"/>
    <w:tmpl w:val="BDF2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756CA"/>
    <w:multiLevelType w:val="hybridMultilevel"/>
    <w:tmpl w:val="756A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B1786"/>
    <w:multiLevelType w:val="hybridMultilevel"/>
    <w:tmpl w:val="7D7A1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CPENb8nmYvlI7dDptDKTFftrTp5VUs2UCSGgtv5eqV5n4G5eaeN162Iis9xsHzESlbEmdLERW8vj6ztdK/mvg==" w:salt="oCY1hXp0q8PjNld8YHhsAA=="/>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20"/>
    <w:rsid w:val="000069FE"/>
    <w:rsid w:val="00007405"/>
    <w:rsid w:val="000113A9"/>
    <w:rsid w:val="00020B8B"/>
    <w:rsid w:val="000227F9"/>
    <w:rsid w:val="00022D61"/>
    <w:rsid w:val="00025857"/>
    <w:rsid w:val="00030B82"/>
    <w:rsid w:val="000324E5"/>
    <w:rsid w:val="00042A59"/>
    <w:rsid w:val="00052A81"/>
    <w:rsid w:val="00073647"/>
    <w:rsid w:val="000814C6"/>
    <w:rsid w:val="00083ED5"/>
    <w:rsid w:val="00085460"/>
    <w:rsid w:val="00085A4E"/>
    <w:rsid w:val="00087A92"/>
    <w:rsid w:val="00092F80"/>
    <w:rsid w:val="000953CA"/>
    <w:rsid w:val="000B48CC"/>
    <w:rsid w:val="000B5414"/>
    <w:rsid w:val="000B5852"/>
    <w:rsid w:val="000C5FE8"/>
    <w:rsid w:val="000D3148"/>
    <w:rsid w:val="000E1C41"/>
    <w:rsid w:val="000E3820"/>
    <w:rsid w:val="000E7E01"/>
    <w:rsid w:val="000F2D29"/>
    <w:rsid w:val="000F383A"/>
    <w:rsid w:val="00105936"/>
    <w:rsid w:val="001177FD"/>
    <w:rsid w:val="00126235"/>
    <w:rsid w:val="00130792"/>
    <w:rsid w:val="001354EF"/>
    <w:rsid w:val="001413FD"/>
    <w:rsid w:val="00146B30"/>
    <w:rsid w:val="00150B1A"/>
    <w:rsid w:val="00151228"/>
    <w:rsid w:val="001558F5"/>
    <w:rsid w:val="00162007"/>
    <w:rsid w:val="00162AC7"/>
    <w:rsid w:val="00164C87"/>
    <w:rsid w:val="00173623"/>
    <w:rsid w:val="001738EA"/>
    <w:rsid w:val="001807F1"/>
    <w:rsid w:val="00192D9D"/>
    <w:rsid w:val="001A07C3"/>
    <w:rsid w:val="001A43CC"/>
    <w:rsid w:val="001A5DFC"/>
    <w:rsid w:val="001B14AA"/>
    <w:rsid w:val="001B17B5"/>
    <w:rsid w:val="001C4AFC"/>
    <w:rsid w:val="001C7F0D"/>
    <w:rsid w:val="001D5AF1"/>
    <w:rsid w:val="001D65FB"/>
    <w:rsid w:val="001E334E"/>
    <w:rsid w:val="00204BE3"/>
    <w:rsid w:val="00206B77"/>
    <w:rsid w:val="002127B1"/>
    <w:rsid w:val="00213A79"/>
    <w:rsid w:val="00224273"/>
    <w:rsid w:val="00230AD5"/>
    <w:rsid w:val="00240B25"/>
    <w:rsid w:val="00241642"/>
    <w:rsid w:val="00263AC9"/>
    <w:rsid w:val="00274A47"/>
    <w:rsid w:val="002773BE"/>
    <w:rsid w:val="00277C99"/>
    <w:rsid w:val="00282214"/>
    <w:rsid w:val="00282CC4"/>
    <w:rsid w:val="002868AC"/>
    <w:rsid w:val="00290096"/>
    <w:rsid w:val="0029120A"/>
    <w:rsid w:val="00296F93"/>
    <w:rsid w:val="002A2390"/>
    <w:rsid w:val="002A3580"/>
    <w:rsid w:val="002C3165"/>
    <w:rsid w:val="002C5941"/>
    <w:rsid w:val="002D19FD"/>
    <w:rsid w:val="002E4761"/>
    <w:rsid w:val="002E7690"/>
    <w:rsid w:val="002E79EF"/>
    <w:rsid w:val="002F29E9"/>
    <w:rsid w:val="002F3449"/>
    <w:rsid w:val="0031152C"/>
    <w:rsid w:val="0031338E"/>
    <w:rsid w:val="003248E0"/>
    <w:rsid w:val="00326A1F"/>
    <w:rsid w:val="0033125B"/>
    <w:rsid w:val="00342984"/>
    <w:rsid w:val="00343377"/>
    <w:rsid w:val="0034446C"/>
    <w:rsid w:val="00346199"/>
    <w:rsid w:val="00365886"/>
    <w:rsid w:val="00374A58"/>
    <w:rsid w:val="00380224"/>
    <w:rsid w:val="00386D16"/>
    <w:rsid w:val="0039047A"/>
    <w:rsid w:val="00391BDA"/>
    <w:rsid w:val="00393CBA"/>
    <w:rsid w:val="00393D6A"/>
    <w:rsid w:val="003973A6"/>
    <w:rsid w:val="003B4922"/>
    <w:rsid w:val="003B7805"/>
    <w:rsid w:val="003C7420"/>
    <w:rsid w:val="003D0706"/>
    <w:rsid w:val="003D1F6F"/>
    <w:rsid w:val="003E024F"/>
    <w:rsid w:val="003E47BB"/>
    <w:rsid w:val="003F0AF3"/>
    <w:rsid w:val="003F52D1"/>
    <w:rsid w:val="003F749A"/>
    <w:rsid w:val="004026C2"/>
    <w:rsid w:val="004029C4"/>
    <w:rsid w:val="00410B59"/>
    <w:rsid w:val="00411048"/>
    <w:rsid w:val="0041345B"/>
    <w:rsid w:val="004200FA"/>
    <w:rsid w:val="004260B4"/>
    <w:rsid w:val="00433F61"/>
    <w:rsid w:val="00435530"/>
    <w:rsid w:val="0043770E"/>
    <w:rsid w:val="00441528"/>
    <w:rsid w:val="00443C8C"/>
    <w:rsid w:val="004532E3"/>
    <w:rsid w:val="00472790"/>
    <w:rsid w:val="00472DFC"/>
    <w:rsid w:val="004739E9"/>
    <w:rsid w:val="00480366"/>
    <w:rsid w:val="004822E7"/>
    <w:rsid w:val="0049069D"/>
    <w:rsid w:val="004A6980"/>
    <w:rsid w:val="004B0D2F"/>
    <w:rsid w:val="004B5AF9"/>
    <w:rsid w:val="004C1D8B"/>
    <w:rsid w:val="004D33F5"/>
    <w:rsid w:val="004F1EB5"/>
    <w:rsid w:val="004F7EC4"/>
    <w:rsid w:val="005011D4"/>
    <w:rsid w:val="00501348"/>
    <w:rsid w:val="00505B81"/>
    <w:rsid w:val="00507A8C"/>
    <w:rsid w:val="0051148D"/>
    <w:rsid w:val="00513A24"/>
    <w:rsid w:val="00516EC3"/>
    <w:rsid w:val="00521DF8"/>
    <w:rsid w:val="005244DF"/>
    <w:rsid w:val="0052591E"/>
    <w:rsid w:val="00526538"/>
    <w:rsid w:val="00531C15"/>
    <w:rsid w:val="00533CE1"/>
    <w:rsid w:val="00533CEA"/>
    <w:rsid w:val="00534C93"/>
    <w:rsid w:val="00535AC1"/>
    <w:rsid w:val="00545226"/>
    <w:rsid w:val="0055337F"/>
    <w:rsid w:val="00573D77"/>
    <w:rsid w:val="005765E3"/>
    <w:rsid w:val="005842D7"/>
    <w:rsid w:val="0058447A"/>
    <w:rsid w:val="00584901"/>
    <w:rsid w:val="00592912"/>
    <w:rsid w:val="00594056"/>
    <w:rsid w:val="005A5B6D"/>
    <w:rsid w:val="005A6656"/>
    <w:rsid w:val="005B43C1"/>
    <w:rsid w:val="005C6EC5"/>
    <w:rsid w:val="005D565E"/>
    <w:rsid w:val="005D7D6E"/>
    <w:rsid w:val="005E4D9F"/>
    <w:rsid w:val="005E631F"/>
    <w:rsid w:val="005F5172"/>
    <w:rsid w:val="006019C6"/>
    <w:rsid w:val="00603CFE"/>
    <w:rsid w:val="0060451D"/>
    <w:rsid w:val="00627F4C"/>
    <w:rsid w:val="00632058"/>
    <w:rsid w:val="006344FC"/>
    <w:rsid w:val="00635650"/>
    <w:rsid w:val="006656E6"/>
    <w:rsid w:val="00667B8B"/>
    <w:rsid w:val="006727B3"/>
    <w:rsid w:val="00673C5C"/>
    <w:rsid w:val="00673D82"/>
    <w:rsid w:val="00677656"/>
    <w:rsid w:val="00690104"/>
    <w:rsid w:val="006A1A12"/>
    <w:rsid w:val="006A2089"/>
    <w:rsid w:val="006A3AF9"/>
    <w:rsid w:val="006C4EB4"/>
    <w:rsid w:val="006C71F5"/>
    <w:rsid w:val="006D1A61"/>
    <w:rsid w:val="006D728D"/>
    <w:rsid w:val="006E31EE"/>
    <w:rsid w:val="006E3570"/>
    <w:rsid w:val="006F302A"/>
    <w:rsid w:val="007028F3"/>
    <w:rsid w:val="00703346"/>
    <w:rsid w:val="00704469"/>
    <w:rsid w:val="007211B9"/>
    <w:rsid w:val="00726F5B"/>
    <w:rsid w:val="0072759B"/>
    <w:rsid w:val="007404E3"/>
    <w:rsid w:val="00746DB0"/>
    <w:rsid w:val="00752BA1"/>
    <w:rsid w:val="00752EC9"/>
    <w:rsid w:val="00767C1D"/>
    <w:rsid w:val="007846AF"/>
    <w:rsid w:val="0078786E"/>
    <w:rsid w:val="007A3896"/>
    <w:rsid w:val="007B2B8C"/>
    <w:rsid w:val="007B5103"/>
    <w:rsid w:val="007B5580"/>
    <w:rsid w:val="007C43BC"/>
    <w:rsid w:val="007D255F"/>
    <w:rsid w:val="007D2769"/>
    <w:rsid w:val="007D37A1"/>
    <w:rsid w:val="007E6CC4"/>
    <w:rsid w:val="007F21A4"/>
    <w:rsid w:val="008109A4"/>
    <w:rsid w:val="008160E2"/>
    <w:rsid w:val="008252ED"/>
    <w:rsid w:val="00831CFC"/>
    <w:rsid w:val="00835A6E"/>
    <w:rsid w:val="00836D60"/>
    <w:rsid w:val="00843E84"/>
    <w:rsid w:val="00847A34"/>
    <w:rsid w:val="0085585A"/>
    <w:rsid w:val="00861DA0"/>
    <w:rsid w:val="00867428"/>
    <w:rsid w:val="00870CC9"/>
    <w:rsid w:val="00871162"/>
    <w:rsid w:val="0087382E"/>
    <w:rsid w:val="0088095C"/>
    <w:rsid w:val="00885F13"/>
    <w:rsid w:val="00887262"/>
    <w:rsid w:val="00887BDC"/>
    <w:rsid w:val="00895B43"/>
    <w:rsid w:val="008A3ED7"/>
    <w:rsid w:val="008B051F"/>
    <w:rsid w:val="008B2449"/>
    <w:rsid w:val="008B3953"/>
    <w:rsid w:val="008C5209"/>
    <w:rsid w:val="008E1DB4"/>
    <w:rsid w:val="008F4181"/>
    <w:rsid w:val="0090022F"/>
    <w:rsid w:val="0090080B"/>
    <w:rsid w:val="00903A8E"/>
    <w:rsid w:val="00903CD9"/>
    <w:rsid w:val="00906256"/>
    <w:rsid w:val="00910507"/>
    <w:rsid w:val="00916AE2"/>
    <w:rsid w:val="00922420"/>
    <w:rsid w:val="00927C1A"/>
    <w:rsid w:val="00932F10"/>
    <w:rsid w:val="009407AD"/>
    <w:rsid w:val="00954542"/>
    <w:rsid w:val="00955E9B"/>
    <w:rsid w:val="00967581"/>
    <w:rsid w:val="0097067C"/>
    <w:rsid w:val="00973508"/>
    <w:rsid w:val="0097677F"/>
    <w:rsid w:val="00980D67"/>
    <w:rsid w:val="00991C41"/>
    <w:rsid w:val="00995DE9"/>
    <w:rsid w:val="00995F43"/>
    <w:rsid w:val="0099776D"/>
    <w:rsid w:val="009A071A"/>
    <w:rsid w:val="009A7279"/>
    <w:rsid w:val="009B3CB9"/>
    <w:rsid w:val="009C47C6"/>
    <w:rsid w:val="009D213B"/>
    <w:rsid w:val="009D2D0A"/>
    <w:rsid w:val="009D3ED0"/>
    <w:rsid w:val="00A02174"/>
    <w:rsid w:val="00A16603"/>
    <w:rsid w:val="00A20449"/>
    <w:rsid w:val="00A20BA2"/>
    <w:rsid w:val="00A3009F"/>
    <w:rsid w:val="00A35729"/>
    <w:rsid w:val="00A35AE2"/>
    <w:rsid w:val="00A367CD"/>
    <w:rsid w:val="00A37FA9"/>
    <w:rsid w:val="00A40AC2"/>
    <w:rsid w:val="00A441DE"/>
    <w:rsid w:val="00A60CFF"/>
    <w:rsid w:val="00A62C53"/>
    <w:rsid w:val="00A634E6"/>
    <w:rsid w:val="00A6669D"/>
    <w:rsid w:val="00A67CA2"/>
    <w:rsid w:val="00A70782"/>
    <w:rsid w:val="00A77EA1"/>
    <w:rsid w:val="00A922D8"/>
    <w:rsid w:val="00AA2431"/>
    <w:rsid w:val="00AA3193"/>
    <w:rsid w:val="00AA3269"/>
    <w:rsid w:val="00AA6B80"/>
    <w:rsid w:val="00AA7968"/>
    <w:rsid w:val="00AB4BCE"/>
    <w:rsid w:val="00AC0699"/>
    <w:rsid w:val="00AC101A"/>
    <w:rsid w:val="00AC7FC1"/>
    <w:rsid w:val="00AF3465"/>
    <w:rsid w:val="00B0044A"/>
    <w:rsid w:val="00B21394"/>
    <w:rsid w:val="00B256C7"/>
    <w:rsid w:val="00B50E48"/>
    <w:rsid w:val="00B534C7"/>
    <w:rsid w:val="00B64360"/>
    <w:rsid w:val="00B64858"/>
    <w:rsid w:val="00B81354"/>
    <w:rsid w:val="00B82A2B"/>
    <w:rsid w:val="00B84715"/>
    <w:rsid w:val="00B8541A"/>
    <w:rsid w:val="00B854F7"/>
    <w:rsid w:val="00B87079"/>
    <w:rsid w:val="00B91C25"/>
    <w:rsid w:val="00B93BC2"/>
    <w:rsid w:val="00BA2481"/>
    <w:rsid w:val="00BA6576"/>
    <w:rsid w:val="00BB6917"/>
    <w:rsid w:val="00BC47BD"/>
    <w:rsid w:val="00BC522C"/>
    <w:rsid w:val="00BD1916"/>
    <w:rsid w:val="00BD3F8C"/>
    <w:rsid w:val="00BD509C"/>
    <w:rsid w:val="00BF356D"/>
    <w:rsid w:val="00BF4ADA"/>
    <w:rsid w:val="00BF5EB4"/>
    <w:rsid w:val="00C02595"/>
    <w:rsid w:val="00C13FC5"/>
    <w:rsid w:val="00C156E9"/>
    <w:rsid w:val="00C160DC"/>
    <w:rsid w:val="00C17D75"/>
    <w:rsid w:val="00C25642"/>
    <w:rsid w:val="00C26460"/>
    <w:rsid w:val="00C30D63"/>
    <w:rsid w:val="00C35751"/>
    <w:rsid w:val="00C403C7"/>
    <w:rsid w:val="00C518C4"/>
    <w:rsid w:val="00C5359C"/>
    <w:rsid w:val="00C66582"/>
    <w:rsid w:val="00C70959"/>
    <w:rsid w:val="00C737E6"/>
    <w:rsid w:val="00C7422A"/>
    <w:rsid w:val="00C7603E"/>
    <w:rsid w:val="00C9175B"/>
    <w:rsid w:val="00C92F2D"/>
    <w:rsid w:val="00C93507"/>
    <w:rsid w:val="00C954F1"/>
    <w:rsid w:val="00C95932"/>
    <w:rsid w:val="00CA2C56"/>
    <w:rsid w:val="00CA4C3A"/>
    <w:rsid w:val="00CA52E9"/>
    <w:rsid w:val="00CA71F2"/>
    <w:rsid w:val="00CB7018"/>
    <w:rsid w:val="00CC18E8"/>
    <w:rsid w:val="00CC3C00"/>
    <w:rsid w:val="00CC5811"/>
    <w:rsid w:val="00CD5C16"/>
    <w:rsid w:val="00CD6E9B"/>
    <w:rsid w:val="00CE1F3D"/>
    <w:rsid w:val="00CF2A24"/>
    <w:rsid w:val="00D0297A"/>
    <w:rsid w:val="00D037A9"/>
    <w:rsid w:val="00D076B7"/>
    <w:rsid w:val="00D3390E"/>
    <w:rsid w:val="00D35410"/>
    <w:rsid w:val="00D358D9"/>
    <w:rsid w:val="00D45B50"/>
    <w:rsid w:val="00D54FA3"/>
    <w:rsid w:val="00D55E35"/>
    <w:rsid w:val="00D56651"/>
    <w:rsid w:val="00D809F6"/>
    <w:rsid w:val="00D83DB5"/>
    <w:rsid w:val="00D84E09"/>
    <w:rsid w:val="00D93805"/>
    <w:rsid w:val="00D93E82"/>
    <w:rsid w:val="00D94A73"/>
    <w:rsid w:val="00DA26F8"/>
    <w:rsid w:val="00DB030F"/>
    <w:rsid w:val="00DC3611"/>
    <w:rsid w:val="00DC4094"/>
    <w:rsid w:val="00DC7E6B"/>
    <w:rsid w:val="00DE3AC1"/>
    <w:rsid w:val="00DE7DEE"/>
    <w:rsid w:val="00E0328E"/>
    <w:rsid w:val="00E05B43"/>
    <w:rsid w:val="00E14F59"/>
    <w:rsid w:val="00E26527"/>
    <w:rsid w:val="00E33672"/>
    <w:rsid w:val="00E42ADE"/>
    <w:rsid w:val="00E4448B"/>
    <w:rsid w:val="00E47682"/>
    <w:rsid w:val="00E54794"/>
    <w:rsid w:val="00E94367"/>
    <w:rsid w:val="00EA1B43"/>
    <w:rsid w:val="00EA49D0"/>
    <w:rsid w:val="00EA6B53"/>
    <w:rsid w:val="00EB2658"/>
    <w:rsid w:val="00EB2C28"/>
    <w:rsid w:val="00ED3CFB"/>
    <w:rsid w:val="00EE1607"/>
    <w:rsid w:val="00EE444A"/>
    <w:rsid w:val="00F00F36"/>
    <w:rsid w:val="00F070B0"/>
    <w:rsid w:val="00F23BC7"/>
    <w:rsid w:val="00F33B1D"/>
    <w:rsid w:val="00F360C5"/>
    <w:rsid w:val="00F367DD"/>
    <w:rsid w:val="00F4188A"/>
    <w:rsid w:val="00F42D1B"/>
    <w:rsid w:val="00F4608A"/>
    <w:rsid w:val="00F516D0"/>
    <w:rsid w:val="00F53C49"/>
    <w:rsid w:val="00F54CFC"/>
    <w:rsid w:val="00F62A2B"/>
    <w:rsid w:val="00F67317"/>
    <w:rsid w:val="00F72F80"/>
    <w:rsid w:val="00F73AE6"/>
    <w:rsid w:val="00F762E1"/>
    <w:rsid w:val="00F771D3"/>
    <w:rsid w:val="00F80EB6"/>
    <w:rsid w:val="00F961D2"/>
    <w:rsid w:val="00FA3ECB"/>
    <w:rsid w:val="00FB0878"/>
    <w:rsid w:val="00FD1545"/>
    <w:rsid w:val="00FD37A4"/>
    <w:rsid w:val="00FD3CAB"/>
    <w:rsid w:val="00FD4F18"/>
    <w:rsid w:val="00FE164B"/>
    <w:rsid w:val="00FF38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B3AB3B"/>
  <w15:docId w15:val="{7076BA30-ABFF-4E24-9A7C-24EBADE1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27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7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A7279"/>
    <w:pPr>
      <w:tabs>
        <w:tab w:val="center" w:pos="4320"/>
        <w:tab w:val="right" w:pos="8640"/>
      </w:tabs>
    </w:pPr>
  </w:style>
  <w:style w:type="character" w:customStyle="1" w:styleId="FooterChar">
    <w:name w:val="Footer Char"/>
    <w:basedOn w:val="DefaultParagraphFont"/>
    <w:link w:val="Footer"/>
    <w:uiPriority w:val="99"/>
    <w:semiHidden/>
    <w:rsid w:val="004334AC"/>
    <w:rPr>
      <w:rFonts w:ascii="Arial" w:hAnsi="Arial"/>
    </w:rPr>
  </w:style>
  <w:style w:type="paragraph" w:styleId="Header">
    <w:name w:val="header"/>
    <w:basedOn w:val="Normal"/>
    <w:link w:val="HeaderChar"/>
    <w:uiPriority w:val="99"/>
    <w:rsid w:val="0034446C"/>
    <w:pPr>
      <w:tabs>
        <w:tab w:val="center" w:pos="4320"/>
        <w:tab w:val="right" w:pos="8640"/>
      </w:tabs>
    </w:pPr>
  </w:style>
  <w:style w:type="character" w:customStyle="1" w:styleId="HeaderChar">
    <w:name w:val="Header Char"/>
    <w:basedOn w:val="DefaultParagraphFont"/>
    <w:link w:val="Header"/>
    <w:uiPriority w:val="99"/>
    <w:semiHidden/>
    <w:rsid w:val="004334AC"/>
    <w:rPr>
      <w:rFonts w:ascii="Arial" w:hAnsi="Arial"/>
    </w:rPr>
  </w:style>
  <w:style w:type="paragraph" w:styleId="BalloonText">
    <w:name w:val="Balloon Text"/>
    <w:basedOn w:val="Normal"/>
    <w:link w:val="BalloonTextChar"/>
    <w:uiPriority w:val="99"/>
    <w:semiHidden/>
    <w:rsid w:val="008C5209"/>
    <w:rPr>
      <w:rFonts w:ascii="Tahoma" w:hAnsi="Tahoma" w:cs="Tahoma"/>
      <w:sz w:val="16"/>
      <w:szCs w:val="16"/>
    </w:rPr>
  </w:style>
  <w:style w:type="character" w:customStyle="1" w:styleId="BalloonTextChar">
    <w:name w:val="Balloon Text Char"/>
    <w:basedOn w:val="DefaultParagraphFont"/>
    <w:link w:val="BalloonText"/>
    <w:uiPriority w:val="99"/>
    <w:semiHidden/>
    <w:rsid w:val="004334AC"/>
    <w:rPr>
      <w:sz w:val="0"/>
      <w:szCs w:val="0"/>
    </w:rPr>
  </w:style>
  <w:style w:type="character" w:styleId="Hyperlink">
    <w:name w:val="Hyperlink"/>
    <w:basedOn w:val="DefaultParagraphFont"/>
    <w:uiPriority w:val="99"/>
    <w:rsid w:val="00326A1F"/>
    <w:rPr>
      <w:rFonts w:cs="Times New Roman"/>
      <w:color w:val="0000FF"/>
      <w:u w:val="single"/>
    </w:rPr>
  </w:style>
  <w:style w:type="character" w:styleId="CommentReference">
    <w:name w:val="annotation reference"/>
    <w:basedOn w:val="DefaultParagraphFont"/>
    <w:rsid w:val="005C6EC5"/>
    <w:rPr>
      <w:sz w:val="16"/>
      <w:szCs w:val="16"/>
    </w:rPr>
  </w:style>
  <w:style w:type="paragraph" w:styleId="CommentText">
    <w:name w:val="annotation text"/>
    <w:basedOn w:val="Normal"/>
    <w:link w:val="CommentTextChar"/>
    <w:rsid w:val="005C6EC5"/>
  </w:style>
  <w:style w:type="character" w:customStyle="1" w:styleId="CommentTextChar">
    <w:name w:val="Comment Text Char"/>
    <w:basedOn w:val="DefaultParagraphFont"/>
    <w:link w:val="CommentText"/>
    <w:rsid w:val="005C6EC5"/>
    <w:rPr>
      <w:rFonts w:ascii="Arial" w:hAnsi="Arial"/>
    </w:rPr>
  </w:style>
  <w:style w:type="paragraph" w:styleId="CommentSubject">
    <w:name w:val="annotation subject"/>
    <w:basedOn w:val="CommentText"/>
    <w:next w:val="CommentText"/>
    <w:link w:val="CommentSubjectChar"/>
    <w:rsid w:val="005C6EC5"/>
    <w:rPr>
      <w:b/>
      <w:bCs/>
    </w:rPr>
  </w:style>
  <w:style w:type="character" w:customStyle="1" w:styleId="CommentSubjectChar">
    <w:name w:val="Comment Subject Char"/>
    <w:basedOn w:val="CommentTextChar"/>
    <w:link w:val="CommentSubject"/>
    <w:rsid w:val="005C6EC5"/>
    <w:rPr>
      <w:rFonts w:ascii="Arial" w:hAnsi="Arial"/>
      <w:b/>
      <w:bCs/>
    </w:rPr>
  </w:style>
  <w:style w:type="paragraph" w:styleId="ListParagraph">
    <w:name w:val="List Paragraph"/>
    <w:basedOn w:val="Normal"/>
    <w:uiPriority w:val="34"/>
    <w:qFormat/>
    <w:rsid w:val="00083ED5"/>
    <w:pPr>
      <w:ind w:left="720"/>
      <w:contextualSpacing/>
    </w:pPr>
  </w:style>
  <w:style w:type="character" w:styleId="FollowedHyperlink">
    <w:name w:val="FollowedHyperlink"/>
    <w:basedOn w:val="DefaultParagraphFont"/>
    <w:semiHidden/>
    <w:unhideWhenUsed/>
    <w:rsid w:val="00C40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smo.org/node/747/our-offices" TargetMode="External"/><Relationship Id="rId4" Type="http://schemas.openxmlformats.org/officeDocument/2006/relationships/settings" Target="settings.xml"/><Relationship Id="rId9" Type="http://schemas.openxmlformats.org/officeDocument/2006/relationships/hyperlink" Target="http://missourilawyershelp.org/find-lawy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r2\AppData\Local\Temp\1\Cherwell\cd263_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2AC26-E8CE-48EA-8487-E724CC89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cd263_Spanish</Template>
  <TotalTime>1</TotalTime>
  <Pages>3</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MISSOURI DEPARTMENT OF SOCIAL SERVICES</vt:lpstr>
    </vt:vector>
  </TitlesOfParts>
  <Company>Missouri Department of Social Services</Company>
  <LinksUpToDate>false</LinksUpToDate>
  <CharactersWithSpaces>14555</CharactersWithSpaces>
  <SharedDoc>false</SharedDoc>
  <HLinks>
    <vt:vector size="6" baseType="variant">
      <vt:variant>
        <vt:i4>3997809</vt:i4>
      </vt:variant>
      <vt:variant>
        <vt:i4>140</vt:i4>
      </vt:variant>
      <vt:variant>
        <vt:i4>0</vt:i4>
      </vt:variant>
      <vt:variant>
        <vt:i4>5</vt:i4>
      </vt:variant>
      <vt:variant>
        <vt:lpwstr>http://www.lsmo.org/Home/PublicWeb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SOCIAL SERVICES</dc:title>
  <dc:subject/>
  <dc:creator>Wright, Renee</dc:creator>
  <cp:keywords/>
  <cp:lastModifiedBy>Wright, Renee</cp:lastModifiedBy>
  <cp:revision>1</cp:revision>
  <cp:lastPrinted>2012-04-24T17:43:00Z</cp:lastPrinted>
  <dcterms:created xsi:type="dcterms:W3CDTF">2021-11-22T14:26:00Z</dcterms:created>
  <dcterms:modified xsi:type="dcterms:W3CDTF">2021-11-22T15:24:00Z</dcterms:modified>
</cp:coreProperties>
</file>